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E293D4" w14:textId="66BD89DC" w:rsidR="00AB3AF4" w:rsidRPr="00AB3AF4" w:rsidRDefault="0098250D" w:rsidP="00AB3AF4">
      <w:pPr>
        <w:tabs>
          <w:tab w:val="left" w:pos="2160"/>
        </w:tabs>
        <w:spacing w:after="0"/>
        <w:rPr>
          <w:rFonts w:ascii="Arial" w:hAnsi="Arial" w:cs="Arial"/>
          <w:b/>
          <w:sz w:val="24"/>
        </w:rPr>
      </w:pPr>
      <w:bookmarkStart w:id="0" w:name="historyclause"/>
      <w:r w:rsidRPr="0098250D">
        <w:rPr>
          <w:rFonts w:ascii="Arial" w:hAnsi="Arial" w:cs="Arial"/>
          <w:b/>
          <w:sz w:val="24"/>
        </w:rPr>
        <w:t>3GPP RAN WG4 Meeting #1</w:t>
      </w:r>
      <w:r w:rsidR="00A814E0">
        <w:rPr>
          <w:rFonts w:ascii="Arial" w:hAnsi="Arial" w:cs="Arial"/>
          <w:b/>
          <w:sz w:val="24"/>
        </w:rPr>
        <w:t>13</w:t>
      </w:r>
      <w:r w:rsidR="000A7A0F">
        <w:rPr>
          <w:rFonts w:ascii="Arial" w:hAnsi="Arial" w:cs="Arial"/>
          <w:b/>
          <w:sz w:val="24"/>
        </w:rPr>
        <w:t>s</w:t>
      </w:r>
      <w:r w:rsidR="00AB3AF4" w:rsidRP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814E0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CC760C" w:rsidRPr="00CC760C">
        <w:rPr>
          <w:rFonts w:ascii="Arial" w:hAnsi="Arial" w:cs="Arial"/>
          <w:b/>
          <w:sz w:val="24"/>
        </w:rPr>
        <w:t>R4-2417753</w:t>
      </w:r>
    </w:p>
    <w:p w14:paraId="5B9CF4B1" w14:textId="52833B46" w:rsidR="00BD6168" w:rsidRDefault="00A814E0" w:rsidP="00E27B54">
      <w:pPr>
        <w:tabs>
          <w:tab w:val="left" w:pos="2160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Orlando</w:t>
      </w:r>
      <w:r w:rsidR="0098250D" w:rsidRPr="0098250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USA</w:t>
      </w:r>
      <w:r w:rsidR="0098250D" w:rsidRPr="0098250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18</w:t>
      </w:r>
      <w:r w:rsidR="000A7A0F" w:rsidRPr="000A7A0F">
        <w:rPr>
          <w:rFonts w:ascii="Arial" w:hAnsi="Arial" w:cs="Arial"/>
          <w:b/>
          <w:sz w:val="24"/>
        </w:rPr>
        <w:t xml:space="preserve">th – </w:t>
      </w:r>
      <w:r>
        <w:rPr>
          <w:rFonts w:ascii="Arial" w:hAnsi="Arial" w:cs="Arial"/>
          <w:b/>
          <w:sz w:val="24"/>
        </w:rPr>
        <w:t>22nd</w:t>
      </w:r>
      <w:r w:rsidR="000A7A0F" w:rsidRPr="000A7A0F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November</w:t>
      </w:r>
      <w:r w:rsidR="000A7A0F" w:rsidRPr="000A7A0F">
        <w:rPr>
          <w:rFonts w:ascii="Arial" w:hAnsi="Arial" w:cs="Arial"/>
          <w:b/>
          <w:sz w:val="24"/>
        </w:rPr>
        <w:t xml:space="preserve"> 2024</w:t>
      </w:r>
    </w:p>
    <w:p w14:paraId="1492F949" w14:textId="77777777" w:rsidR="00DF67C5" w:rsidRDefault="00DF67C5" w:rsidP="00E27B54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6F2B07CE" w:rsidR="00D309CC" w:rsidRPr="006C351C" w:rsidRDefault="00D309CC" w:rsidP="000A7A0F">
      <w:pPr>
        <w:pStyle w:val="CH"/>
        <w:ind w:left="2260" w:hanging="2260"/>
        <w:rPr>
          <w:b w:val="0"/>
        </w:rPr>
      </w:pPr>
      <w:r w:rsidRPr="0008103A">
        <w:t>Agenda item:</w:t>
      </w:r>
      <w:r>
        <w:tab/>
      </w:r>
      <w:r w:rsidR="00167CB6" w:rsidRPr="00167CB6">
        <w:t>6</w:t>
      </w:r>
      <w:r w:rsidR="00CD5226" w:rsidRPr="00167CB6">
        <w:t>.17.2</w:t>
      </w:r>
    </w:p>
    <w:p w14:paraId="4DBE005A" w14:textId="30CE7A7B" w:rsidR="00D309CC" w:rsidRPr="006C351C" w:rsidRDefault="00D309CC" w:rsidP="00E27B54">
      <w:pPr>
        <w:pStyle w:val="CH"/>
        <w:rPr>
          <w:b w:val="0"/>
        </w:rPr>
      </w:pPr>
      <w:r w:rsidRPr="006C351C">
        <w:t>Source:</w:t>
      </w:r>
      <w:r w:rsidRPr="006C351C">
        <w:tab/>
      </w:r>
      <w:r w:rsidR="00881CD6" w:rsidRPr="00881CD6">
        <w:t>Apple</w:t>
      </w:r>
    </w:p>
    <w:p w14:paraId="0D2061A1" w14:textId="39DCE4E7" w:rsidR="00D309CC" w:rsidRPr="006C351C" w:rsidRDefault="00D309CC" w:rsidP="003F59B1">
      <w:pPr>
        <w:pStyle w:val="CH"/>
        <w:ind w:left="2260" w:hanging="2260"/>
      </w:pPr>
      <w:r w:rsidRPr="006C351C">
        <w:t>Title:</w:t>
      </w:r>
      <w:r w:rsidRPr="006C351C">
        <w:tab/>
      </w:r>
      <w:r w:rsidR="00A814E0">
        <w:t xml:space="preserve">On </w:t>
      </w:r>
      <w:r w:rsidR="00CD5226" w:rsidRPr="00CD5226">
        <w:t>UE power back-off while operating in 2000-2020 MHz UL range</w:t>
      </w:r>
      <w:r w:rsidR="00A814E0">
        <w:t xml:space="preserve"> of the NTN band n252</w:t>
      </w:r>
    </w:p>
    <w:p w14:paraId="052B1E0C" w14:textId="67505818" w:rsidR="00104BC6" w:rsidRPr="00D867DB" w:rsidRDefault="00104BC6" w:rsidP="00E27B54">
      <w:pPr>
        <w:pStyle w:val="CH"/>
        <w:rPr>
          <w:lang w:val="en-DE"/>
        </w:rPr>
      </w:pPr>
      <w:r w:rsidRPr="002A4457">
        <w:t>WI/SI:</w:t>
      </w:r>
      <w:r w:rsidRPr="002A4457">
        <w:tab/>
      </w:r>
      <w:r w:rsidR="00CD5226" w:rsidRPr="00CD5226">
        <w:rPr>
          <w:lang w:val="en-DE"/>
        </w:rPr>
        <w:t>NR_NTN_Sband-Core</w:t>
      </w:r>
    </w:p>
    <w:p w14:paraId="6C6D1281" w14:textId="4A0DE0A1" w:rsidR="00104BC6" w:rsidRPr="006C351C" w:rsidRDefault="00104BC6" w:rsidP="00E27B54">
      <w:pPr>
        <w:pStyle w:val="CH"/>
        <w:rPr>
          <w:b w:val="0"/>
        </w:rPr>
      </w:pPr>
      <w:r w:rsidRPr="006C351C">
        <w:t>Release:</w:t>
      </w:r>
      <w:r w:rsidRPr="006C351C">
        <w:tab/>
        <w:t>Rel-</w:t>
      </w:r>
      <w:r w:rsidR="002A79F8" w:rsidRPr="006C351C">
        <w:t>1</w:t>
      </w:r>
      <w:r w:rsidR="003F59B1">
        <w:t>9</w:t>
      </w:r>
    </w:p>
    <w:p w14:paraId="00DB0B4B" w14:textId="1520151C" w:rsidR="00FC371C" w:rsidRDefault="00D309CC" w:rsidP="00E27B54">
      <w:pPr>
        <w:pStyle w:val="CH"/>
      </w:pPr>
      <w:r w:rsidRPr="006C351C">
        <w:t>Document for:</w:t>
      </w:r>
      <w:r w:rsidRPr="006C351C">
        <w:tab/>
      </w:r>
      <w:r w:rsidR="00C77A33" w:rsidRPr="00C77A33">
        <w:t>Decision</w:t>
      </w:r>
    </w:p>
    <w:p w14:paraId="6B5BDE59" w14:textId="77777777" w:rsidR="00171755" w:rsidRPr="00171755" w:rsidRDefault="00171755" w:rsidP="00E27B54">
      <w:pPr>
        <w:pStyle w:val="CH"/>
      </w:pPr>
    </w:p>
    <w:p w14:paraId="0273524A" w14:textId="48BBA82E" w:rsidR="008E7986" w:rsidRDefault="008E7986" w:rsidP="00E27B54">
      <w:pPr>
        <w:pStyle w:val="Heading1"/>
        <w:keepNext w:val="0"/>
        <w:keepLines w:val="0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7D22476C" w14:textId="77777777" w:rsidR="00CD5226" w:rsidRDefault="00FF5898" w:rsidP="00966007">
      <w:pPr>
        <w:jc w:val="both"/>
      </w:pPr>
      <w:r>
        <w:t xml:space="preserve">After the RAN#86 meeting, the Rel-17 WI was approved that aimed at enabling the 5G/NR radio access technology for non-terrestrial satellite deployments </w:t>
      </w:r>
      <w:r>
        <w:fldChar w:fldCharType="begin"/>
      </w:r>
      <w:r>
        <w:instrText xml:space="preserve"> REF _Ref13820109 \r \h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  <w:r w:rsidRPr="00C110E5">
        <w:t xml:space="preserve">One of the WI objectives was to define and introduce the corresponding bands into the 3GPP specifications. The outcome of these discussions was two NTN bands – L-band and S-band – </w:t>
      </w:r>
      <w:r>
        <w:t>which</w:t>
      </w:r>
      <w:r w:rsidRPr="00C110E5">
        <w:t xml:space="preserve"> were added as bands n255 and n256, respectively</w:t>
      </w:r>
      <w:r>
        <w:t>, to the Rel-17 core specifications</w:t>
      </w:r>
      <w:r w:rsidRPr="00C110E5">
        <w:t xml:space="preserve">. </w:t>
      </w:r>
      <w:r>
        <w:t>However, already</w:t>
      </w:r>
      <w:r w:rsidR="00424A4D">
        <w:t xml:space="preserve"> at</w:t>
      </w:r>
      <w:r>
        <w:t xml:space="preserve"> that time it was noted that </w:t>
      </w:r>
      <w:r w:rsidRPr="00C110E5">
        <w:t>there exist other satellite deployments</w:t>
      </w:r>
      <w:r w:rsidR="005C6D6D">
        <w:t xml:space="preserve">. </w:t>
      </w:r>
      <w:r w:rsidR="005C6D6D" w:rsidRPr="00C110E5">
        <w:t>To limit the overall workload in Rel-17, it was decided by RAN WG4 to focus on L- and S-bands with the common understanding that other potential NTN bands should follow the "normal" process of submitting a new spectrum WI.</w:t>
      </w:r>
      <w:r w:rsidR="00A475ED">
        <w:t xml:space="preserve"> For instance</w:t>
      </w:r>
      <w:r w:rsidR="005C6D6D">
        <w:t xml:space="preserve">, </w:t>
      </w:r>
      <w:r w:rsidR="00A475ED">
        <w:t>after</w:t>
      </w:r>
      <w:r w:rsidR="005C6D6D">
        <w:t xml:space="preserve"> the RAN#98 meeting a new Rel-18 NTN spectrum WI was agreed with the objective of adding support for a new NTN band </w:t>
      </w:r>
      <w:r w:rsidR="0048636D">
        <w:t xml:space="preserve">(band n254) </w:t>
      </w:r>
      <w:r w:rsidR="005C6D6D">
        <w:t xml:space="preserve">where the UL is on the L-band and the DL is on the S-band </w:t>
      </w:r>
      <w:r w:rsidR="005C6D6D">
        <w:fldChar w:fldCharType="begin"/>
      </w:r>
      <w:r w:rsidR="005C6D6D">
        <w:instrText xml:space="preserve"> REF _Ref126142327 \r \h </w:instrText>
      </w:r>
      <w:r w:rsidR="00424A4D">
        <w:instrText xml:space="preserve"> \* MERGEFORMAT </w:instrText>
      </w:r>
      <w:r w:rsidR="005C6D6D">
        <w:fldChar w:fldCharType="separate"/>
      </w:r>
      <w:r w:rsidR="005C6D6D">
        <w:t>[2]</w:t>
      </w:r>
      <w:r w:rsidR="005C6D6D">
        <w:fldChar w:fldCharType="end"/>
      </w:r>
      <w:r w:rsidR="005C6D6D" w:rsidRPr="00C110E5">
        <w:t>.</w:t>
      </w:r>
      <w:r w:rsidR="005C6D6D">
        <w:t xml:space="preserve"> </w:t>
      </w:r>
      <w:r w:rsidR="00B509ED">
        <w:t>S</w:t>
      </w:r>
      <w:r w:rsidR="00B509ED" w:rsidRPr="00B509ED">
        <w:t xml:space="preserve">o-called extended L-band was also completed in Rel-18. </w:t>
      </w:r>
    </w:p>
    <w:p w14:paraId="01692701" w14:textId="662CA790" w:rsidR="00A475ED" w:rsidRDefault="00B509ED" w:rsidP="00966007">
      <w:pPr>
        <w:jc w:val="both"/>
      </w:pPr>
      <w:r>
        <w:t>And a</w:t>
      </w:r>
      <w:r w:rsidRPr="00B509ED">
        <w:t>fter the RAN#104 meeting another spectrum WI was agreed for a satellite band operating in the S-band frequency range</w:t>
      </w:r>
      <w:r>
        <w:t xml:space="preserve"> </w:t>
      </w:r>
      <w:r>
        <w:fldChar w:fldCharType="begin"/>
      </w:r>
      <w:r>
        <w:instrText xml:space="preserve"> REF _Ref178775453 \r \h </w:instrText>
      </w:r>
      <w:r>
        <w:fldChar w:fldCharType="separate"/>
      </w:r>
      <w:r>
        <w:t>[3]</w:t>
      </w:r>
      <w:r>
        <w:fldChar w:fldCharType="end"/>
      </w:r>
      <w:r w:rsidRPr="00B509ED">
        <w:t>.</w:t>
      </w:r>
      <w:r w:rsidR="00CD5226">
        <w:t xml:space="preserve"> The UL block of a new NTN band covers the frequency range of 2000-2020MHz, which is close to the DL of another terrestrial band n25. And as discussed during the previous RAN4#112 meeting, there are some concerns on the potential impact from UL transmission on a new NTN band n252 to the DL receivers operating in the terrestrial band n25. Consequently, there were also concerns on the potential power back-off that band n252 UE may apply to meet existing requirements to protect band n25 receivers. </w:t>
      </w:r>
      <w:r w:rsidR="00D671FD">
        <w:t xml:space="preserve">RAN4#112bis concluded </w:t>
      </w:r>
      <w:r w:rsidR="00D671FD">
        <w:fldChar w:fldCharType="begin"/>
      </w:r>
      <w:r w:rsidR="00D671FD">
        <w:instrText xml:space="preserve"> REF _Ref181968675 \r \h </w:instrText>
      </w:r>
      <w:r w:rsidR="00D671FD">
        <w:fldChar w:fldCharType="separate"/>
      </w:r>
      <w:r w:rsidR="00D671FD">
        <w:t>[5]</w:t>
      </w:r>
      <w:r w:rsidR="00D671FD">
        <w:fldChar w:fldCharType="end"/>
      </w:r>
      <w:r w:rsidR="00D671FD">
        <w:t xml:space="preserve"> to consider an option to "</w:t>
      </w:r>
      <w:r w:rsidR="00D671FD" w:rsidRPr="00D671FD">
        <w:rPr>
          <w:i/>
          <w:iCs/>
        </w:rPr>
        <w:t>Define a new more relaxed spurious emission requirement for TN-NTN UE to UE coexistence compared to -50dBm/MH</w:t>
      </w:r>
      <w:r w:rsidR="00D671FD">
        <w:rPr>
          <w:i/>
          <w:iCs/>
        </w:rPr>
        <w:t>z</w:t>
      </w:r>
      <w:r w:rsidR="00D671FD">
        <w:t xml:space="preserve"> ". </w:t>
      </w:r>
      <w:proofErr w:type="spellStart"/>
      <w:r w:rsidR="00CD5226">
        <w:t>To</w:t>
      </w:r>
      <w:proofErr w:type="spellEnd"/>
      <w:r w:rsidR="00CD5226">
        <w:t xml:space="preserve"> facilitate further technical discussions</w:t>
      </w:r>
      <w:r w:rsidR="00D671FD">
        <w:t xml:space="preserve"> on potential trade-offs between the relaxed -50dBm/MHz requirements and</w:t>
      </w:r>
      <w:r w:rsidR="00CD5226">
        <w:t xml:space="preserve"> </w:t>
      </w:r>
      <w:r w:rsidR="00D671FD">
        <w:t xml:space="preserve">required power back-off, </w:t>
      </w:r>
      <w:r w:rsidR="00CD5226">
        <w:t>we conduct a set of</w:t>
      </w:r>
      <w:r w:rsidR="00D671FD">
        <w:t xml:space="preserve"> additional</w:t>
      </w:r>
      <w:r w:rsidR="00CD5226">
        <w:t xml:space="preserve"> simulations </w:t>
      </w:r>
      <w:r w:rsidR="00D671FD">
        <w:t xml:space="preserve">accompanied by our preliminary considerations on anticipated power back-off values for different channel bandwidths and UL </w:t>
      </w:r>
      <w:proofErr w:type="spellStart"/>
      <w:r w:rsidR="00D671FD">
        <w:t>allocationss</w:t>
      </w:r>
      <w:proofErr w:type="spellEnd"/>
      <w:r w:rsidR="00CD5226">
        <w:t xml:space="preserve">.     </w:t>
      </w:r>
    </w:p>
    <w:p w14:paraId="6078594E" w14:textId="5E8AB17F" w:rsidR="00DE6BE6" w:rsidRDefault="00FC371C" w:rsidP="00E65966">
      <w:pPr>
        <w:pStyle w:val="Heading1"/>
        <w:keepNext w:val="0"/>
        <w:keepLines w:val="0"/>
      </w:pPr>
      <w:r>
        <w:t>2</w:t>
      </w:r>
      <w:r>
        <w:tab/>
      </w:r>
      <w:r w:rsidR="00650557">
        <w:t xml:space="preserve">UE </w:t>
      </w:r>
      <w:r w:rsidR="00591F72">
        <w:t>power back-off values</w:t>
      </w:r>
    </w:p>
    <w:p w14:paraId="60FC2CD8" w14:textId="7BDC3532" w:rsidR="00795BC5" w:rsidRDefault="00795BC5" w:rsidP="00795BC5">
      <w:pPr>
        <w:pStyle w:val="Heading2"/>
      </w:pPr>
      <w:r>
        <w:t>2.1</w:t>
      </w:r>
      <w:r>
        <w:tab/>
        <w:t>Power back-off simulations</w:t>
      </w:r>
    </w:p>
    <w:p w14:paraId="112D3A5F" w14:textId="61BE6A2D" w:rsidR="007026F3" w:rsidRDefault="007026F3" w:rsidP="007026F3">
      <w:pPr>
        <w:jc w:val="both"/>
        <w:rPr>
          <w:noProof/>
        </w:rPr>
      </w:pPr>
      <w:r>
        <w:t xml:space="preserve">Here we present power back-off results for the NTN band n252 with the following common assumptions: </w:t>
      </w:r>
    </w:p>
    <w:p w14:paraId="0F250D28" w14:textId="77777777" w:rsidR="007026F3" w:rsidRDefault="007026F3" w:rsidP="007026F3">
      <w:pPr>
        <w:pStyle w:val="B1"/>
      </w:pPr>
      <w:r>
        <w:t>-</w:t>
      </w:r>
      <w:r>
        <w:tab/>
        <w:t>Tx power: PC3 (+23dBm)</w:t>
      </w:r>
    </w:p>
    <w:p w14:paraId="1B766551" w14:textId="77777777" w:rsidR="007026F3" w:rsidRDefault="007026F3" w:rsidP="007026F3">
      <w:pPr>
        <w:pStyle w:val="B1"/>
      </w:pPr>
      <w:r>
        <w:t>-</w:t>
      </w:r>
      <w:r>
        <w:tab/>
        <w:t>LO placement: always in the centre of the carrier</w:t>
      </w:r>
    </w:p>
    <w:p w14:paraId="541B4B3D" w14:textId="751B4B6B" w:rsidR="00326299" w:rsidRDefault="007026F3" w:rsidP="00C428A8">
      <w:pPr>
        <w:pStyle w:val="B1"/>
      </w:pPr>
      <w:r>
        <w:t>-</w:t>
      </w:r>
      <w:r>
        <w:tab/>
      </w:r>
      <w:r w:rsidR="00C428A8">
        <w:t>Additional requirements</w:t>
      </w:r>
      <w:r>
        <w:t xml:space="preserve">: </w:t>
      </w:r>
      <w:r w:rsidR="00C428A8">
        <w:t>-50dBm/MHz protection criterion for band n25</w:t>
      </w:r>
      <w:r w:rsidR="00650557">
        <w:t xml:space="preserve"> </w:t>
      </w:r>
    </w:p>
    <w:p w14:paraId="38EDC189" w14:textId="77777777" w:rsidR="00795BC5" w:rsidRDefault="00795BC5" w:rsidP="00C013D6"/>
    <w:p w14:paraId="78488DAF" w14:textId="36FCAA55" w:rsidR="00C013D6" w:rsidRDefault="001E21EA" w:rsidP="00C013D6">
      <w:r>
        <w:t>Figure 2</w:t>
      </w:r>
      <w:r w:rsidR="004E7494">
        <w:t>.1</w:t>
      </w:r>
      <w:r>
        <w:t>-1 below presents the simulation results for the 5MHz channel</w:t>
      </w:r>
      <w:r w:rsidR="003D2F2E">
        <w:t>,</w:t>
      </w:r>
      <w:r>
        <w:t xml:space="preserve"> which is placed in the following locations within the band: left edge of the band </w:t>
      </w:r>
      <w:r w:rsidR="00CA0BC6">
        <w:t>(Fc=2002.5MHz) and two other centre frequencies shifted further away from the left edge (Fc=2007.5MHz and Fc=2012.5MHz).  For the sake of brevity</w:t>
      </w:r>
      <w:r w:rsidR="00A529B2">
        <w:t>,</w:t>
      </w:r>
      <w:r w:rsidR="00CA0BC6">
        <w:t xml:space="preserve"> we present only DFT-s-OFDM results because as indicated in our previous studies CP-OFDM has even higher power back-off values.</w:t>
      </w:r>
      <w:r w:rsidR="003D2F2E">
        <w:t xml:space="preserve"> So, referring to Figure 2</w:t>
      </w:r>
      <w:r w:rsidR="004E7494">
        <w:t>.1</w:t>
      </w:r>
      <w:r w:rsidR="003D2F2E">
        <w:t>-1 the following general observations could be made</w:t>
      </w:r>
      <w:r w:rsidR="005B2F7C">
        <w:t xml:space="preserve"> for the 5MHz channel</w:t>
      </w:r>
      <w:r w:rsidR="003D2F2E">
        <w:t>:</w:t>
      </w:r>
    </w:p>
    <w:p w14:paraId="523BE573" w14:textId="6D0B8124" w:rsidR="003D2F2E" w:rsidRDefault="003D2F2E" w:rsidP="003D2F2E">
      <w:pPr>
        <w:pStyle w:val="B1"/>
      </w:pPr>
      <w:r>
        <w:lastRenderedPageBreak/>
        <w:t>-</w:t>
      </w:r>
      <w:r>
        <w:tab/>
        <w:t xml:space="preserve">If the 5MHz channel is right at the left edge of the band, then large UL allocations may need large power back-off of up to 11dB. On the other hand, if we consider small UL allocations, which are likely to be the case for the NTN channels, then required power back-off is rather marginal. There is however a region constrained by RBstart=5 and LCRB=7 where even small UL allocations might have a noticeable power back-off. </w:t>
      </w:r>
    </w:p>
    <w:p w14:paraId="701B7EB5" w14:textId="44C11040" w:rsidR="003D2F2E" w:rsidRDefault="003D2F2E" w:rsidP="003D2F2E">
      <w:pPr>
        <w:pStyle w:val="B1"/>
      </w:pPr>
      <w:r>
        <w:t>-</w:t>
      </w:r>
      <w:r>
        <w:tab/>
        <w:t xml:space="preserve">If the 5MHz channel is shifted farther away from the band lower edge, then required power back-off reduces dramatically. Only large UL allocations may need power back-off, whereas small UL allocations either do not need any power back-off or the back-off stays within the limits of 0.5dB.  </w:t>
      </w:r>
    </w:p>
    <w:p w14:paraId="208D37A8" w14:textId="77777777" w:rsidR="00C013D6" w:rsidRDefault="00C013D6" w:rsidP="00C013D6"/>
    <w:p w14:paraId="7C455619" w14:textId="2CF0A457" w:rsidR="00C013D6" w:rsidRDefault="007026F3" w:rsidP="00C013D6">
      <w:r w:rsidRPr="007026F3">
        <w:rPr>
          <w:noProof/>
        </w:rPr>
        <w:drawing>
          <wp:inline distT="0" distB="0" distL="0" distR="0" wp14:anchorId="5F463159" wp14:editId="389F6DE1">
            <wp:extent cx="1931276" cy="1530638"/>
            <wp:effectExtent l="0" t="0" r="0" b="6350"/>
            <wp:docPr id="1556272310" name="Picture 1" descr="A graph of different colored square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6272310" name="Picture 1" descr="A graph of different colored squares&#10;&#10;Description automatically generated with medium confidenc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68711" cy="15603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7026F3">
        <w:rPr>
          <w:noProof/>
        </w:rPr>
        <w:drawing>
          <wp:inline distT="0" distB="0" distL="0" distR="0" wp14:anchorId="57D62B3E" wp14:editId="1F41B82B">
            <wp:extent cx="1860331" cy="1507985"/>
            <wp:effectExtent l="0" t="0" r="0" b="3810"/>
            <wp:docPr id="2097908069" name="Picture 1" descr="A graph of different colored squar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7908069" name="Picture 1" descr="A graph of different colored squares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22477" cy="1558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 w:rsidRPr="007026F3">
        <w:rPr>
          <w:noProof/>
        </w:rPr>
        <w:drawing>
          <wp:inline distT="0" distB="0" distL="0" distR="0" wp14:anchorId="26DD6FF4" wp14:editId="3728A0B5">
            <wp:extent cx="1877984" cy="1507490"/>
            <wp:effectExtent l="0" t="0" r="1905" b="3810"/>
            <wp:docPr id="528450638" name="Picture 1" descr="A graph of a graph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8450638" name="Picture 1" descr="A graph of a graph&#10;&#10;Description automatically generated with medium confidenc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30001" cy="1549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F418DD" w14:textId="4D19AB51" w:rsidR="00751068" w:rsidRDefault="007026F3" w:rsidP="00D91D0F">
      <w:pPr>
        <w:pStyle w:val="TH"/>
      </w:pPr>
      <w:r>
        <w:t>Figure 2</w:t>
      </w:r>
      <w:r w:rsidR="004E7494">
        <w:t>.1</w:t>
      </w:r>
      <w:r>
        <w:t>-1: Power back-off values for the 5MHz channel with DFT-s-OFDM</w:t>
      </w:r>
    </w:p>
    <w:p w14:paraId="262FA647" w14:textId="77777777" w:rsidR="00D46DF8" w:rsidRDefault="00D46DF8" w:rsidP="00D46DF8"/>
    <w:p w14:paraId="78E09238" w14:textId="77777777" w:rsidR="00E31772" w:rsidRDefault="00E31772" w:rsidP="00D46DF8"/>
    <w:p w14:paraId="3AE8D367" w14:textId="1BA08A26" w:rsidR="000506CF" w:rsidRDefault="000506CF" w:rsidP="00D46DF8">
      <w:r>
        <w:t>Figure 2</w:t>
      </w:r>
      <w:r w:rsidR="004E7494">
        <w:t>.1</w:t>
      </w:r>
      <w:r>
        <w:t>-2 present</w:t>
      </w:r>
      <w:r w:rsidR="004E7494">
        <w:t>s</w:t>
      </w:r>
      <w:r>
        <w:t xml:space="preserve"> power back-off values for the 10MHz channel considering three locations of the channel: right at the left edge of the band (Fc=2005), shifted to the right so that the offset from the band edge is 5MHz (Fc=2010), and with the offset of 10MHz (Fc=2015). The following general observations can be made:</w:t>
      </w:r>
    </w:p>
    <w:p w14:paraId="33B87D78" w14:textId="345D692C" w:rsidR="000506CF" w:rsidRDefault="000506CF" w:rsidP="000506CF">
      <w:pPr>
        <w:pStyle w:val="B1"/>
      </w:pPr>
      <w:r>
        <w:t>-</w:t>
      </w:r>
      <w:r>
        <w:tab/>
        <w:t>For the first and the second case, i.e. when the 10MHz channel resides at the left edge of the band and is offset by 5MHz, large power back-off is needed even for small UL allocations.</w:t>
      </w:r>
    </w:p>
    <w:p w14:paraId="3E88B234" w14:textId="6AF7DE95" w:rsidR="000506CF" w:rsidRDefault="000506CF" w:rsidP="000506CF">
      <w:pPr>
        <w:pStyle w:val="B1"/>
      </w:pPr>
      <w:r>
        <w:t>-</w:t>
      </w:r>
      <w:r>
        <w:tab/>
        <w:t xml:space="preserve">If the 10MHz channel is offset by the 10MHz gap from the left edge, i.e. it resides at the right edge of the band, then most small UL allocations will experience </w:t>
      </w:r>
      <w:r w:rsidR="00845252">
        <w:t xml:space="preserve">either no or </w:t>
      </w:r>
      <w:r>
        <w:t xml:space="preserve">only marginal backoff (except several allocations at the left edge of the channel). </w:t>
      </w:r>
    </w:p>
    <w:p w14:paraId="184EE034" w14:textId="77777777" w:rsidR="009A40B3" w:rsidRDefault="009A40B3" w:rsidP="009A40B3"/>
    <w:p w14:paraId="63395489" w14:textId="0FFBBFC3" w:rsidR="000506CF" w:rsidRDefault="000506CF" w:rsidP="00D46DF8">
      <w:r w:rsidRPr="000506CF">
        <w:drawing>
          <wp:inline distT="0" distB="0" distL="0" distR="0" wp14:anchorId="4F5721A6" wp14:editId="193D752D">
            <wp:extent cx="1879600" cy="1455564"/>
            <wp:effectExtent l="0" t="0" r="0" b="5080"/>
            <wp:docPr id="1353443568" name="Picture 1" descr="A graph of a graph showing different color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3443568" name="Picture 1" descr="A graph of a graph showing different colors&#10;&#10;Description automatically generated with medium confidence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20677" cy="1487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 w:rsidRPr="000506CF">
        <w:drawing>
          <wp:inline distT="0" distB="0" distL="0" distR="0" wp14:anchorId="5FF1B04A" wp14:editId="03A4DCE7">
            <wp:extent cx="1780578" cy="1456266"/>
            <wp:effectExtent l="0" t="0" r="0" b="4445"/>
            <wp:docPr id="686095736" name="Picture 1" descr="A graph of different colo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6095736" name="Picture 1" descr="A graph of different colors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25138" cy="1492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</w:t>
      </w:r>
      <w:r w:rsidRPr="000506CF">
        <w:drawing>
          <wp:inline distT="0" distB="0" distL="0" distR="0" wp14:anchorId="47F84EDE" wp14:editId="6718CEE7">
            <wp:extent cx="1750991" cy="1439333"/>
            <wp:effectExtent l="0" t="0" r="1905" b="0"/>
            <wp:docPr id="451112171" name="Picture 1" descr="A graph of different colo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1112171" name="Picture 1" descr="A graph of different colors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76468" cy="146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600D6A" w14:textId="649E70A5" w:rsidR="000506CF" w:rsidRDefault="009A40B3" w:rsidP="009A40B3">
      <w:pPr>
        <w:pStyle w:val="TF"/>
      </w:pPr>
      <w:r>
        <w:t>Figure 2</w:t>
      </w:r>
      <w:r w:rsidR="004E7494">
        <w:t>.1</w:t>
      </w:r>
      <w:r>
        <w:t>-</w:t>
      </w:r>
      <w:r>
        <w:t>2</w:t>
      </w:r>
      <w:r>
        <w:t xml:space="preserve">: Power back-off values for the </w:t>
      </w:r>
      <w:r w:rsidR="004E39C4">
        <w:t>10</w:t>
      </w:r>
      <w:r>
        <w:t>MHz channel with DFT-s-OFDM</w:t>
      </w:r>
    </w:p>
    <w:p w14:paraId="51E00EB1" w14:textId="77777777" w:rsidR="00E31772" w:rsidRDefault="00E31772" w:rsidP="00D46DF8"/>
    <w:p w14:paraId="6E2C636C" w14:textId="13F5A5A3" w:rsidR="007026F3" w:rsidRDefault="00D46DF8" w:rsidP="00D46DF8">
      <w:r>
        <w:t>Next, Figure 2</w:t>
      </w:r>
      <w:r w:rsidR="004E7494">
        <w:t>.1</w:t>
      </w:r>
      <w:r>
        <w:t>-</w:t>
      </w:r>
      <w:r w:rsidR="000506CF">
        <w:t>3</w:t>
      </w:r>
      <w:r>
        <w:t xml:space="preserve"> presents power back-off values for the 20MHz channel, which is the largest channel that can be configured in this band. So</w:t>
      </w:r>
      <w:r w:rsidR="00F95CA0">
        <w:t>,</w:t>
      </w:r>
      <w:r>
        <w:t xml:space="preserve"> there is only one scenario with the 20MHz channel placed within a new NTN band n252. Referring to the presented results, like for other NTN bands that have stringent </w:t>
      </w:r>
      <w:r w:rsidR="00B226C7">
        <w:t xml:space="preserve">out-of-band emission </w:t>
      </w:r>
      <w:r>
        <w:t xml:space="preserve">requirements, large allocations and/or small(-er) allocations at the edge of the band will require </w:t>
      </w:r>
      <w:r w:rsidR="00A814E0">
        <w:t xml:space="preserve">quite </w:t>
      </w:r>
      <w:r>
        <w:t>noticeable power back-off</w:t>
      </w:r>
      <w:r w:rsidR="00A814E0">
        <w:t xml:space="preserve"> values</w:t>
      </w:r>
      <w:r>
        <w:t>.</w:t>
      </w:r>
    </w:p>
    <w:p w14:paraId="41347E65" w14:textId="34C7224E" w:rsidR="00D46DF8" w:rsidRDefault="00D46DF8" w:rsidP="00D46DF8">
      <w:pPr>
        <w:jc w:val="center"/>
      </w:pPr>
      <w:r w:rsidRPr="00D46DF8">
        <w:rPr>
          <w:noProof/>
        </w:rPr>
        <w:lastRenderedPageBreak/>
        <w:drawing>
          <wp:inline distT="0" distB="0" distL="0" distR="0" wp14:anchorId="567BE4EC" wp14:editId="20F2FF89">
            <wp:extent cx="1994338" cy="1549382"/>
            <wp:effectExtent l="0" t="0" r="0" b="635"/>
            <wp:docPr id="667530468" name="Picture 1" descr="A graph of a graph showing a number of color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7530468" name="Picture 1" descr="A graph of a graph showing a number of colors&#10;&#10;Description automatically generated with medium confidence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30621" cy="1577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6E0738" w14:textId="4203A47B" w:rsidR="00D46DF8" w:rsidRDefault="00D46DF8" w:rsidP="00D46DF8">
      <w:pPr>
        <w:pStyle w:val="TH"/>
      </w:pPr>
      <w:r>
        <w:t>Figure 2</w:t>
      </w:r>
      <w:r w:rsidR="004E7494">
        <w:t>.1</w:t>
      </w:r>
      <w:r>
        <w:t>-</w:t>
      </w:r>
      <w:r w:rsidR="000506CF">
        <w:t>3</w:t>
      </w:r>
      <w:r>
        <w:t>: Power back-off values for the 20MHz channel with DFT-s-OFDM</w:t>
      </w:r>
    </w:p>
    <w:p w14:paraId="0ED16586" w14:textId="77777777" w:rsidR="00D46DF8" w:rsidRDefault="00D46DF8" w:rsidP="00D46DF8"/>
    <w:p w14:paraId="24D3CCD6" w14:textId="60B21A43" w:rsidR="00795BC5" w:rsidRDefault="00795BC5" w:rsidP="00795BC5">
      <w:pPr>
        <w:pStyle w:val="Heading2"/>
      </w:pPr>
      <w:r>
        <w:t>2.2</w:t>
      </w:r>
      <w:r>
        <w:tab/>
      </w:r>
      <w:r w:rsidR="000B51EC">
        <w:t>Further considerations</w:t>
      </w:r>
    </w:p>
    <w:p w14:paraId="5E4267D1" w14:textId="449D342F" w:rsidR="00D671FD" w:rsidRDefault="00D671FD" w:rsidP="00D671FD">
      <w:r>
        <w:t xml:space="preserve">As discussed during the last RAN WG4, one way to avoid too large power back-off values is to consider trade-off(s) between relaxed -50dBm/MHz requirements in conjunction with smaller UL channel bandwidths and/or UL allocations. Below we present our initial considerations </w:t>
      </w:r>
      <w:r w:rsidR="000B51EC">
        <w:t>on potential options that can explored further by companies.</w:t>
      </w:r>
    </w:p>
    <w:p w14:paraId="0B056CA7" w14:textId="24E4AE5C" w:rsidR="000B51EC" w:rsidRDefault="000B51EC" w:rsidP="000B51EC">
      <w:pPr>
        <w:pStyle w:val="NO"/>
      </w:pPr>
      <w:r>
        <w:t>NOTE:</w:t>
      </w:r>
      <w:r>
        <w:tab/>
        <w:t xml:space="preserve">The considerations below take a simple assumption of 1:1 scaling of the relaxed protection requirement and required power back-off. However, this relationship is not always linear and thus additional power back-off simulations will be needed to cross-check actual power back-off values for a new protection limit. </w:t>
      </w:r>
    </w:p>
    <w:p w14:paraId="56235EFC" w14:textId="77777777" w:rsidR="00B81CF7" w:rsidRDefault="00B81CF7" w:rsidP="000B51EC"/>
    <w:p w14:paraId="3C439A35" w14:textId="0740A5C0" w:rsidR="000B51EC" w:rsidRDefault="000B51EC" w:rsidP="000B51EC">
      <w:r>
        <w:t xml:space="preserve">Depending on target band n25 protection limit, the following observations can be made:  </w:t>
      </w:r>
    </w:p>
    <w:p w14:paraId="72040278" w14:textId="7F0572FA" w:rsidR="000B51EC" w:rsidRDefault="000B51EC" w:rsidP="000B51EC">
      <w:pPr>
        <w:pStyle w:val="B1"/>
      </w:pPr>
      <w:r>
        <w:t>-</w:t>
      </w:r>
      <w:r>
        <w:tab/>
      </w:r>
      <w:r w:rsidRPr="000B51EC">
        <w:rPr>
          <w:i/>
          <w:iCs/>
        </w:rPr>
        <w:t>-50dBm/</w:t>
      </w:r>
      <w:proofErr w:type="spellStart"/>
      <w:r w:rsidRPr="000B51EC">
        <w:rPr>
          <w:i/>
          <w:iCs/>
        </w:rPr>
        <w:t>MHz</w:t>
      </w:r>
      <w:r>
        <w:t>.</w:t>
      </w:r>
      <w:proofErr w:type="spellEnd"/>
      <w:r>
        <w:t xml:space="preserve"> All 5MHz channels do not need extra power back-off for small UL allocations, except the left-most 5MHz channel. Thus, one potential </w:t>
      </w:r>
      <w:r w:rsidR="009C1FD6">
        <w:t xml:space="preserve">configuration </w:t>
      </w:r>
      <w:r>
        <w:t>for this protection limit is to consider only 5MHz channels in UL with limited UL allocations. Another option is to consider e.g. 5+5+10MHz UL configuration because the 10MHz channel at the right edge of the band does not require large back-off for small allocations.</w:t>
      </w:r>
    </w:p>
    <w:p w14:paraId="008F2F5A" w14:textId="1CB52905" w:rsidR="000B51EC" w:rsidRDefault="000B51EC" w:rsidP="000B51EC">
      <w:pPr>
        <w:pStyle w:val="B1"/>
      </w:pPr>
      <w:r>
        <w:t>-</w:t>
      </w:r>
      <w:r>
        <w:tab/>
      </w:r>
      <w:r w:rsidRPr="000B51EC">
        <w:rPr>
          <w:i/>
          <w:iCs/>
        </w:rPr>
        <w:t>-45dBm/</w:t>
      </w:r>
      <w:proofErr w:type="spellStart"/>
      <w:r w:rsidRPr="000B51EC">
        <w:rPr>
          <w:i/>
          <w:iCs/>
        </w:rPr>
        <w:t>MHz</w:t>
      </w:r>
      <w:r>
        <w:t>.</w:t>
      </w:r>
      <w:proofErr w:type="spellEnd"/>
      <w:r>
        <w:t xml:space="preserve"> For this protection limit the same considerations as above will apply, with the only big noticeable difference is that for the 5+5+10MHz configuration none of the small UL allocations should require any extra power back-off. </w:t>
      </w:r>
    </w:p>
    <w:p w14:paraId="32D4F158" w14:textId="305D8C0E" w:rsidR="000B51EC" w:rsidRDefault="000B51EC" w:rsidP="000B51EC">
      <w:pPr>
        <w:pStyle w:val="B1"/>
      </w:pPr>
      <w:r>
        <w:t>-</w:t>
      </w:r>
      <w:r>
        <w:tab/>
      </w:r>
      <w:r w:rsidRPr="009C1FD6">
        <w:rPr>
          <w:i/>
          <w:iCs/>
        </w:rPr>
        <w:t>-40dBm/</w:t>
      </w:r>
      <w:proofErr w:type="spellStart"/>
      <w:r w:rsidRPr="009C1FD6">
        <w:rPr>
          <w:i/>
          <w:iCs/>
        </w:rPr>
        <w:t>MHz</w:t>
      </w:r>
      <w:r>
        <w:t>.</w:t>
      </w:r>
      <w:proofErr w:type="spellEnd"/>
      <w:r>
        <w:t xml:space="preserve"> </w:t>
      </w:r>
      <w:r w:rsidR="009C1FD6">
        <w:t xml:space="preserve">With this protection limit even large UL allocations will not need extra power back-off at least for the UL 5+5+10MHz configuration. It is in principle possible to consider also the 10+10MHz UL configuration, but as can be seen from the existing results the left-most 10MHz channel still might require extra power back-off for some small UL allocations. </w:t>
      </w:r>
    </w:p>
    <w:p w14:paraId="482738CE" w14:textId="1CCA531D" w:rsidR="009C1FD6" w:rsidRPr="000B51EC" w:rsidRDefault="009C1FD6" w:rsidP="000B51EC">
      <w:pPr>
        <w:pStyle w:val="B1"/>
      </w:pPr>
      <w:r>
        <w:t>-</w:t>
      </w:r>
      <w:r>
        <w:tab/>
      </w:r>
      <w:r w:rsidRPr="009C1FD6">
        <w:rPr>
          <w:i/>
          <w:iCs/>
        </w:rPr>
        <w:t>-35dBm</w:t>
      </w:r>
      <w:r w:rsidRPr="009C1FD6">
        <w:t>/</w:t>
      </w:r>
      <w:proofErr w:type="spellStart"/>
      <w:r w:rsidRPr="009C1FD6">
        <w:rPr>
          <w:i/>
          <w:iCs/>
        </w:rPr>
        <w:t>MHz</w:t>
      </w:r>
      <w:r>
        <w:t>.</w:t>
      </w:r>
      <w:proofErr w:type="spellEnd"/>
      <w:r>
        <w:t xml:space="preserve"> At this protection limit we anticipate no power back-off for small allocations at least for the 10+10MHz UL configuration. </w:t>
      </w:r>
      <w:r w:rsidR="00F77710">
        <w:t>In fact, even large allocations should be feasible for the right-most 10MHz channel.</w:t>
      </w:r>
      <w:r>
        <w:t xml:space="preserve"> </w:t>
      </w:r>
    </w:p>
    <w:p w14:paraId="7B172FC0" w14:textId="77777777" w:rsidR="000B51EC" w:rsidRPr="00D671FD" w:rsidRDefault="000B51EC" w:rsidP="00D671FD"/>
    <w:p w14:paraId="34C99636" w14:textId="7917B134" w:rsidR="008E7986" w:rsidRDefault="008E7986" w:rsidP="00E27B54">
      <w:pPr>
        <w:pStyle w:val="Heading1"/>
        <w:keepNext w:val="0"/>
        <w:keepLines w:val="0"/>
      </w:pPr>
      <w:proofErr w:type="spellStart"/>
      <w:r>
        <w:t>3</w:t>
      </w:r>
      <w:proofErr w:type="spellEnd"/>
      <w:r>
        <w:tab/>
        <w:t>Conclusions</w:t>
      </w:r>
    </w:p>
    <w:p w14:paraId="1A8E353D" w14:textId="77777777" w:rsidR="00B81CF7" w:rsidRDefault="00F95CA0" w:rsidP="00F95CA0">
      <w:pPr>
        <w:jc w:val="both"/>
      </w:pPr>
      <w:r>
        <w:t xml:space="preserve">In this discussion paper we presented power back-off simulation results for a UE operating in the UL range of </w:t>
      </w:r>
      <w:r w:rsidRPr="00F95CA0">
        <w:t>2000-2020 MHz</w:t>
      </w:r>
      <w:r>
        <w:t xml:space="preserve">, i.e. NTN band n252 UL, in presence of the existing requirements to protect band n25 DL. </w:t>
      </w:r>
      <w:r w:rsidR="00A00A29">
        <w:t>These</w:t>
      </w:r>
      <w:r>
        <w:t xml:space="preserve"> results can be used for further technical discussions </w:t>
      </w:r>
      <w:r w:rsidR="00A00A29">
        <w:t>on finding a suitable trade-off between the relaxed protection requirement and smaller UL channel bandwidths/allocations</w:t>
      </w:r>
      <w:r>
        <w:t>.</w:t>
      </w:r>
    </w:p>
    <w:p w14:paraId="11C9D6C3" w14:textId="77777777" w:rsidR="00B81CF7" w:rsidRDefault="00B81CF7" w:rsidP="00F95CA0">
      <w:pPr>
        <w:jc w:val="both"/>
      </w:pPr>
    </w:p>
    <w:p w14:paraId="6D0DED47" w14:textId="5C9D18B6" w:rsidR="002D16A6" w:rsidRPr="00F95CA0" w:rsidRDefault="00B12ADA" w:rsidP="00F95CA0">
      <w:pPr>
        <w:jc w:val="both"/>
      </w:pPr>
      <w:r w:rsidRPr="00477364">
        <w:fldChar w:fldCharType="begin"/>
      </w:r>
      <w:r w:rsidRPr="00477364">
        <w:instrText xml:space="preserve"> TOC \n \t "Proposal,1" </w:instrText>
      </w:r>
      <w:r w:rsidRPr="00477364">
        <w:fldChar w:fldCharType="separate"/>
      </w:r>
    </w:p>
    <w:p w14:paraId="0A9AC9A5" w14:textId="7F1A9031" w:rsidR="005041D3" w:rsidRPr="009A598E" w:rsidRDefault="00B12ADA" w:rsidP="00B12ADA">
      <w:pPr>
        <w:pStyle w:val="Heading1"/>
        <w:keepNext w:val="0"/>
        <w:keepLines w:val="0"/>
      </w:pPr>
      <w:r w:rsidRPr="00477364">
        <w:rPr>
          <w:b/>
          <w:bCs/>
        </w:rPr>
        <w:lastRenderedPageBreak/>
        <w:fldChar w:fldCharType="end"/>
      </w:r>
      <w:r w:rsidR="009A598E">
        <w:t>4</w:t>
      </w:r>
      <w:r w:rsidR="009A598E">
        <w:tab/>
        <w:t>References</w:t>
      </w:r>
    </w:p>
    <w:p w14:paraId="71413AD7" w14:textId="77777777" w:rsidR="00FF5898" w:rsidRPr="004D3578" w:rsidRDefault="00FF5898" w:rsidP="00FF5898">
      <w:pPr>
        <w:pStyle w:val="EX"/>
        <w:numPr>
          <w:ilvl w:val="0"/>
          <w:numId w:val="5"/>
        </w:numPr>
      </w:pPr>
      <w:bookmarkStart w:id="1" w:name="_Ref13820109"/>
      <w:r w:rsidRPr="00804854">
        <w:t>RP-193234</w:t>
      </w:r>
      <w:r>
        <w:t>, "</w:t>
      </w:r>
      <w:r w:rsidRPr="00804854">
        <w:t>Solutions for NR to support non-terrestrial networks (NTN)</w:t>
      </w:r>
      <w:r>
        <w:t>", Thales</w:t>
      </w:r>
      <w:bookmarkEnd w:id="1"/>
    </w:p>
    <w:p w14:paraId="6E7B37CC" w14:textId="77777777" w:rsidR="00FF5898" w:rsidRDefault="00FF5898" w:rsidP="00FF5898">
      <w:pPr>
        <w:pStyle w:val="EX"/>
        <w:numPr>
          <w:ilvl w:val="0"/>
          <w:numId w:val="5"/>
        </w:numPr>
      </w:pPr>
      <w:bookmarkStart w:id="2" w:name="_Ref126142327"/>
      <w:r w:rsidRPr="00F55FAD">
        <w:t>RP-223431</w:t>
      </w:r>
      <w:r>
        <w:t>, "</w:t>
      </w:r>
      <w:r w:rsidRPr="00F55FAD">
        <w:t>New WID on Introduction of the satellite L-/S-band</w:t>
      </w:r>
      <w:r>
        <w:t>", Globalstar, Apple</w:t>
      </w:r>
      <w:bookmarkEnd w:id="2"/>
    </w:p>
    <w:p w14:paraId="0F673C67" w14:textId="6A8C9347" w:rsidR="00B509ED" w:rsidRDefault="00B509ED" w:rsidP="00B509ED">
      <w:pPr>
        <w:pStyle w:val="EX"/>
      </w:pPr>
      <w:bookmarkStart w:id="3" w:name="_Ref178775453"/>
      <w:r w:rsidRPr="00B509ED">
        <w:t>RP-241661, "New WID on Introduction of NR-NTN S-band (MSS band 2000-2020 MHz UL and 2180-2200 MHz DL)", D</w:t>
      </w:r>
      <w:r w:rsidR="00103E6B">
        <w:t>ish</w:t>
      </w:r>
      <w:r w:rsidRPr="00B509ED">
        <w:t xml:space="preserve"> Network, EchoStar, </w:t>
      </w:r>
      <w:proofErr w:type="spellStart"/>
      <w:r w:rsidRPr="00B509ED">
        <w:t>TerreStar</w:t>
      </w:r>
      <w:proofErr w:type="spellEnd"/>
      <w:r w:rsidRPr="00B509ED">
        <w:t xml:space="preserve">, </w:t>
      </w:r>
      <w:proofErr w:type="spellStart"/>
      <w:r w:rsidRPr="00B509ED">
        <w:t>OmniSpace</w:t>
      </w:r>
      <w:proofErr w:type="spellEnd"/>
      <w:r w:rsidRPr="00B509ED">
        <w:t xml:space="preserve">, </w:t>
      </w:r>
      <w:proofErr w:type="spellStart"/>
      <w:r w:rsidRPr="00B509ED">
        <w:t>Telus</w:t>
      </w:r>
      <w:bookmarkEnd w:id="3"/>
      <w:proofErr w:type="spellEnd"/>
    </w:p>
    <w:p w14:paraId="06BB2577" w14:textId="32016276" w:rsidR="008D2E9F" w:rsidRDefault="008D2E9F" w:rsidP="00FF5898">
      <w:pPr>
        <w:pStyle w:val="EX"/>
        <w:numPr>
          <w:ilvl w:val="0"/>
          <w:numId w:val="5"/>
        </w:numPr>
      </w:pPr>
      <w:bookmarkStart w:id="4" w:name="_Ref173831379"/>
      <w:r w:rsidRPr="008D2E9F">
        <w:t>RP-240857</w:t>
      </w:r>
      <w:r>
        <w:t>, "</w:t>
      </w:r>
      <w:r w:rsidRPr="008D2E9F">
        <w:t>New WID: Enhanced requirements and test methodology for NR and IoT NTN</w:t>
      </w:r>
      <w:r>
        <w:t>"</w:t>
      </w:r>
      <w:bookmarkEnd w:id="0"/>
      <w:bookmarkEnd w:id="4"/>
    </w:p>
    <w:p w14:paraId="11A5FC72" w14:textId="6CA3E241" w:rsidR="00D671FD" w:rsidRDefault="00D671FD" w:rsidP="00FF5898">
      <w:pPr>
        <w:pStyle w:val="EX"/>
        <w:numPr>
          <w:ilvl w:val="0"/>
          <w:numId w:val="5"/>
        </w:numPr>
      </w:pPr>
      <w:bookmarkStart w:id="5" w:name="_Ref181968675"/>
      <w:r w:rsidRPr="00D671FD">
        <w:t>R4-2417206</w:t>
      </w:r>
      <w:r>
        <w:t>, "</w:t>
      </w:r>
      <w:r w:rsidRPr="00D671FD">
        <w:t>WF on NTN and IoT-NTN bands</w:t>
      </w:r>
      <w:r>
        <w:t>", Moderator (Inmarsat)</w:t>
      </w:r>
      <w:bookmarkEnd w:id="5"/>
    </w:p>
    <w:sectPr w:rsidR="00D671FD" w:rsidSect="004B5470">
      <w:headerReference w:type="default" r:id="rId16"/>
      <w:footerReference w:type="defaul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95FFD5" w14:textId="77777777" w:rsidR="003F67A7" w:rsidRDefault="003F67A7">
      <w:r>
        <w:separator/>
      </w:r>
    </w:p>
  </w:endnote>
  <w:endnote w:type="continuationSeparator" w:id="0">
    <w:p w14:paraId="0AEFB44B" w14:textId="77777777" w:rsidR="003F67A7" w:rsidRDefault="003F6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43772C" w14:textId="77777777" w:rsidR="003F67A7" w:rsidRDefault="003F67A7">
      <w:r>
        <w:separator/>
      </w:r>
    </w:p>
  </w:footnote>
  <w:footnote w:type="continuationSeparator" w:id="0">
    <w:p w14:paraId="17D92338" w14:textId="77777777" w:rsidR="003F67A7" w:rsidRDefault="003F6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AE48E1"/>
    <w:multiLevelType w:val="hybridMultilevel"/>
    <w:tmpl w:val="3FA4DB5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7D4642"/>
    <w:multiLevelType w:val="hybridMultilevel"/>
    <w:tmpl w:val="0DD4D01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7240B0B"/>
    <w:multiLevelType w:val="hybridMultilevel"/>
    <w:tmpl w:val="C43604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158874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3040928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36360772">
    <w:abstractNumId w:val="1"/>
  </w:num>
  <w:num w:numId="4" w16cid:durableId="811140442">
    <w:abstractNumId w:val="11"/>
  </w:num>
  <w:num w:numId="5" w16cid:durableId="1217669394">
    <w:abstractNumId w:val="2"/>
  </w:num>
  <w:num w:numId="6" w16cid:durableId="605580112">
    <w:abstractNumId w:val="2"/>
  </w:num>
  <w:num w:numId="7" w16cid:durableId="847063367">
    <w:abstractNumId w:val="6"/>
  </w:num>
  <w:num w:numId="8" w16cid:durableId="1615483003">
    <w:abstractNumId w:val="4"/>
  </w:num>
  <w:num w:numId="9" w16cid:durableId="851380668">
    <w:abstractNumId w:val="3"/>
  </w:num>
  <w:num w:numId="10" w16cid:durableId="1065031371">
    <w:abstractNumId w:val="5"/>
  </w:num>
  <w:num w:numId="11" w16cid:durableId="1240287691">
    <w:abstractNumId w:val="8"/>
  </w:num>
  <w:num w:numId="12" w16cid:durableId="1440906995">
    <w:abstractNumId w:val="7"/>
  </w:num>
  <w:num w:numId="13" w16cid:durableId="1987856031">
    <w:abstractNumId w:val="10"/>
  </w:num>
  <w:num w:numId="14" w16cid:durableId="22703629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B84"/>
    <w:rsid w:val="000037B7"/>
    <w:rsid w:val="00004C0C"/>
    <w:rsid w:val="0000727F"/>
    <w:rsid w:val="00013D4E"/>
    <w:rsid w:val="000168FE"/>
    <w:rsid w:val="00022584"/>
    <w:rsid w:val="00024025"/>
    <w:rsid w:val="00025132"/>
    <w:rsid w:val="00026A8F"/>
    <w:rsid w:val="0003171C"/>
    <w:rsid w:val="00033397"/>
    <w:rsid w:val="00033F3B"/>
    <w:rsid w:val="000340EB"/>
    <w:rsid w:val="00040095"/>
    <w:rsid w:val="000430DD"/>
    <w:rsid w:val="000462FF"/>
    <w:rsid w:val="000506CF"/>
    <w:rsid w:val="00050D5E"/>
    <w:rsid w:val="00051834"/>
    <w:rsid w:val="000518D2"/>
    <w:rsid w:val="00052A65"/>
    <w:rsid w:val="00052D38"/>
    <w:rsid w:val="00054A22"/>
    <w:rsid w:val="00062023"/>
    <w:rsid w:val="000621AE"/>
    <w:rsid w:val="000629F8"/>
    <w:rsid w:val="00062B99"/>
    <w:rsid w:val="000655A6"/>
    <w:rsid w:val="00070D52"/>
    <w:rsid w:val="0007444D"/>
    <w:rsid w:val="0007793C"/>
    <w:rsid w:val="00080512"/>
    <w:rsid w:val="0008490B"/>
    <w:rsid w:val="00084DB8"/>
    <w:rsid w:val="00085B26"/>
    <w:rsid w:val="000900F3"/>
    <w:rsid w:val="000917BE"/>
    <w:rsid w:val="00093952"/>
    <w:rsid w:val="00094907"/>
    <w:rsid w:val="00096C65"/>
    <w:rsid w:val="00097A46"/>
    <w:rsid w:val="000A2DDD"/>
    <w:rsid w:val="000A365D"/>
    <w:rsid w:val="000A36E3"/>
    <w:rsid w:val="000A44B6"/>
    <w:rsid w:val="000A530C"/>
    <w:rsid w:val="000A68F3"/>
    <w:rsid w:val="000A7A0F"/>
    <w:rsid w:val="000B0001"/>
    <w:rsid w:val="000B3699"/>
    <w:rsid w:val="000B51EC"/>
    <w:rsid w:val="000B5B22"/>
    <w:rsid w:val="000B6FC9"/>
    <w:rsid w:val="000C023C"/>
    <w:rsid w:val="000C0D87"/>
    <w:rsid w:val="000C1D24"/>
    <w:rsid w:val="000C2808"/>
    <w:rsid w:val="000C47C3"/>
    <w:rsid w:val="000C7248"/>
    <w:rsid w:val="000C7F55"/>
    <w:rsid w:val="000D06A6"/>
    <w:rsid w:val="000D28CD"/>
    <w:rsid w:val="000D5095"/>
    <w:rsid w:val="000D58AB"/>
    <w:rsid w:val="000D7B92"/>
    <w:rsid w:val="000E023D"/>
    <w:rsid w:val="000E3ACF"/>
    <w:rsid w:val="000F5ABE"/>
    <w:rsid w:val="000F5F19"/>
    <w:rsid w:val="001032BC"/>
    <w:rsid w:val="00103E6B"/>
    <w:rsid w:val="00104BC6"/>
    <w:rsid w:val="00105023"/>
    <w:rsid w:val="001064E7"/>
    <w:rsid w:val="00106BF6"/>
    <w:rsid w:val="00106D24"/>
    <w:rsid w:val="0011478B"/>
    <w:rsid w:val="00114E2C"/>
    <w:rsid w:val="00115165"/>
    <w:rsid w:val="00115A87"/>
    <w:rsid w:val="00117B20"/>
    <w:rsid w:val="00120DC1"/>
    <w:rsid w:val="00122E3B"/>
    <w:rsid w:val="00131646"/>
    <w:rsid w:val="00133525"/>
    <w:rsid w:val="001378AC"/>
    <w:rsid w:val="00141DDF"/>
    <w:rsid w:val="001449DB"/>
    <w:rsid w:val="001502E3"/>
    <w:rsid w:val="00150344"/>
    <w:rsid w:val="001527DF"/>
    <w:rsid w:val="00153861"/>
    <w:rsid w:val="00161A9C"/>
    <w:rsid w:val="00162B64"/>
    <w:rsid w:val="00164651"/>
    <w:rsid w:val="00167CB6"/>
    <w:rsid w:val="00171755"/>
    <w:rsid w:val="00176C55"/>
    <w:rsid w:val="00177BF7"/>
    <w:rsid w:val="0018138C"/>
    <w:rsid w:val="00181F79"/>
    <w:rsid w:val="001825A5"/>
    <w:rsid w:val="001932FD"/>
    <w:rsid w:val="001940D3"/>
    <w:rsid w:val="00197AEF"/>
    <w:rsid w:val="00197FDE"/>
    <w:rsid w:val="001A1D47"/>
    <w:rsid w:val="001A249A"/>
    <w:rsid w:val="001A4C42"/>
    <w:rsid w:val="001A5579"/>
    <w:rsid w:val="001B1440"/>
    <w:rsid w:val="001B34D7"/>
    <w:rsid w:val="001B34EC"/>
    <w:rsid w:val="001B55F3"/>
    <w:rsid w:val="001B58DA"/>
    <w:rsid w:val="001B6C60"/>
    <w:rsid w:val="001C21C3"/>
    <w:rsid w:val="001D02C2"/>
    <w:rsid w:val="001D03D7"/>
    <w:rsid w:val="001D3AF9"/>
    <w:rsid w:val="001D5F7C"/>
    <w:rsid w:val="001D6D52"/>
    <w:rsid w:val="001D6FE0"/>
    <w:rsid w:val="001D7E7C"/>
    <w:rsid w:val="001E11D4"/>
    <w:rsid w:val="001E21EA"/>
    <w:rsid w:val="001E44ED"/>
    <w:rsid w:val="001E4F2C"/>
    <w:rsid w:val="001F0C1D"/>
    <w:rsid w:val="001F1132"/>
    <w:rsid w:val="001F168B"/>
    <w:rsid w:val="001F529E"/>
    <w:rsid w:val="001F5781"/>
    <w:rsid w:val="001F7D60"/>
    <w:rsid w:val="001F7F82"/>
    <w:rsid w:val="00200328"/>
    <w:rsid w:val="00203852"/>
    <w:rsid w:val="002038BC"/>
    <w:rsid w:val="00203F71"/>
    <w:rsid w:val="00204BA8"/>
    <w:rsid w:val="00205BC2"/>
    <w:rsid w:val="00215DAD"/>
    <w:rsid w:val="0021693C"/>
    <w:rsid w:val="002347A2"/>
    <w:rsid w:val="002349A1"/>
    <w:rsid w:val="00234D6F"/>
    <w:rsid w:val="002361C7"/>
    <w:rsid w:val="002430C5"/>
    <w:rsid w:val="0024429F"/>
    <w:rsid w:val="002448D4"/>
    <w:rsid w:val="0024493C"/>
    <w:rsid w:val="00247926"/>
    <w:rsid w:val="00250D2B"/>
    <w:rsid w:val="002510A7"/>
    <w:rsid w:val="00252476"/>
    <w:rsid w:val="0025773F"/>
    <w:rsid w:val="002616A3"/>
    <w:rsid w:val="002649BE"/>
    <w:rsid w:val="00265121"/>
    <w:rsid w:val="00266CEF"/>
    <w:rsid w:val="002675F0"/>
    <w:rsid w:val="00270751"/>
    <w:rsid w:val="00276720"/>
    <w:rsid w:val="00276EE4"/>
    <w:rsid w:val="0028060A"/>
    <w:rsid w:val="00282556"/>
    <w:rsid w:val="0028458C"/>
    <w:rsid w:val="00285549"/>
    <w:rsid w:val="00285B74"/>
    <w:rsid w:val="00293332"/>
    <w:rsid w:val="002A006D"/>
    <w:rsid w:val="002A02C9"/>
    <w:rsid w:val="002A3F44"/>
    <w:rsid w:val="002A4198"/>
    <w:rsid w:val="002A4457"/>
    <w:rsid w:val="002A76C8"/>
    <w:rsid w:val="002A79F8"/>
    <w:rsid w:val="002B0881"/>
    <w:rsid w:val="002B1504"/>
    <w:rsid w:val="002B4E57"/>
    <w:rsid w:val="002B6339"/>
    <w:rsid w:val="002C3FD9"/>
    <w:rsid w:val="002C5078"/>
    <w:rsid w:val="002C5A06"/>
    <w:rsid w:val="002D16A6"/>
    <w:rsid w:val="002D207F"/>
    <w:rsid w:val="002D2630"/>
    <w:rsid w:val="002D4C09"/>
    <w:rsid w:val="002D7E68"/>
    <w:rsid w:val="002E00EE"/>
    <w:rsid w:val="002E24A2"/>
    <w:rsid w:val="002E2B0B"/>
    <w:rsid w:val="002E4080"/>
    <w:rsid w:val="002F662D"/>
    <w:rsid w:val="002F6BE3"/>
    <w:rsid w:val="002F6F2B"/>
    <w:rsid w:val="002F747C"/>
    <w:rsid w:val="0030293A"/>
    <w:rsid w:val="003040C1"/>
    <w:rsid w:val="00304790"/>
    <w:rsid w:val="00304DE1"/>
    <w:rsid w:val="00305671"/>
    <w:rsid w:val="00305920"/>
    <w:rsid w:val="003131E0"/>
    <w:rsid w:val="0031353C"/>
    <w:rsid w:val="003136A6"/>
    <w:rsid w:val="00316AE1"/>
    <w:rsid w:val="00317127"/>
    <w:rsid w:val="003172DC"/>
    <w:rsid w:val="003224F0"/>
    <w:rsid w:val="00322A0B"/>
    <w:rsid w:val="00322C0B"/>
    <w:rsid w:val="00323B17"/>
    <w:rsid w:val="00326299"/>
    <w:rsid w:val="00334135"/>
    <w:rsid w:val="00334617"/>
    <w:rsid w:val="00335709"/>
    <w:rsid w:val="003378AE"/>
    <w:rsid w:val="00340356"/>
    <w:rsid w:val="0034052F"/>
    <w:rsid w:val="00342BE4"/>
    <w:rsid w:val="00344627"/>
    <w:rsid w:val="00344A6C"/>
    <w:rsid w:val="00345757"/>
    <w:rsid w:val="0035462D"/>
    <w:rsid w:val="003601DF"/>
    <w:rsid w:val="00362028"/>
    <w:rsid w:val="00364C39"/>
    <w:rsid w:val="00364DB5"/>
    <w:rsid w:val="00366323"/>
    <w:rsid w:val="00370606"/>
    <w:rsid w:val="0037554F"/>
    <w:rsid w:val="003765B8"/>
    <w:rsid w:val="00376964"/>
    <w:rsid w:val="00376ADC"/>
    <w:rsid w:val="00383354"/>
    <w:rsid w:val="003860C9"/>
    <w:rsid w:val="0039394E"/>
    <w:rsid w:val="003944B2"/>
    <w:rsid w:val="00394647"/>
    <w:rsid w:val="00395441"/>
    <w:rsid w:val="00396104"/>
    <w:rsid w:val="00396119"/>
    <w:rsid w:val="003A0483"/>
    <w:rsid w:val="003A0541"/>
    <w:rsid w:val="003A4243"/>
    <w:rsid w:val="003A5C0D"/>
    <w:rsid w:val="003A6046"/>
    <w:rsid w:val="003B47E1"/>
    <w:rsid w:val="003B4BAF"/>
    <w:rsid w:val="003B5ABB"/>
    <w:rsid w:val="003B6864"/>
    <w:rsid w:val="003C15C2"/>
    <w:rsid w:val="003C3971"/>
    <w:rsid w:val="003C44E8"/>
    <w:rsid w:val="003C65F9"/>
    <w:rsid w:val="003D17F9"/>
    <w:rsid w:val="003D2F2E"/>
    <w:rsid w:val="003D6351"/>
    <w:rsid w:val="003E249B"/>
    <w:rsid w:val="003E390C"/>
    <w:rsid w:val="003E7753"/>
    <w:rsid w:val="003F4198"/>
    <w:rsid w:val="003F59B1"/>
    <w:rsid w:val="003F67A7"/>
    <w:rsid w:val="003F68E6"/>
    <w:rsid w:val="00400A77"/>
    <w:rsid w:val="004012FF"/>
    <w:rsid w:val="00410303"/>
    <w:rsid w:val="004161BB"/>
    <w:rsid w:val="00416AC7"/>
    <w:rsid w:val="0042139E"/>
    <w:rsid w:val="00421933"/>
    <w:rsid w:val="0042311F"/>
    <w:rsid w:val="00423334"/>
    <w:rsid w:val="00424A4D"/>
    <w:rsid w:val="00430D10"/>
    <w:rsid w:val="00434540"/>
    <w:rsid w:val="004345EC"/>
    <w:rsid w:val="00434E7E"/>
    <w:rsid w:val="00443B1F"/>
    <w:rsid w:val="004509C1"/>
    <w:rsid w:val="0045109D"/>
    <w:rsid w:val="004517D4"/>
    <w:rsid w:val="00453AE1"/>
    <w:rsid w:val="00461B71"/>
    <w:rsid w:val="00463255"/>
    <w:rsid w:val="004634D0"/>
    <w:rsid w:val="0046714E"/>
    <w:rsid w:val="00467E11"/>
    <w:rsid w:val="004709C4"/>
    <w:rsid w:val="00476248"/>
    <w:rsid w:val="004826A9"/>
    <w:rsid w:val="004837BD"/>
    <w:rsid w:val="00485965"/>
    <w:rsid w:val="0048636D"/>
    <w:rsid w:val="004865B0"/>
    <w:rsid w:val="00487E97"/>
    <w:rsid w:val="004909BB"/>
    <w:rsid w:val="0049129B"/>
    <w:rsid w:val="004A37DE"/>
    <w:rsid w:val="004B09FC"/>
    <w:rsid w:val="004B12D6"/>
    <w:rsid w:val="004B3E42"/>
    <w:rsid w:val="004B5470"/>
    <w:rsid w:val="004B6798"/>
    <w:rsid w:val="004C0A2E"/>
    <w:rsid w:val="004C1601"/>
    <w:rsid w:val="004C3099"/>
    <w:rsid w:val="004C38A8"/>
    <w:rsid w:val="004C7B37"/>
    <w:rsid w:val="004D17C9"/>
    <w:rsid w:val="004D3578"/>
    <w:rsid w:val="004E213A"/>
    <w:rsid w:val="004E2D77"/>
    <w:rsid w:val="004E38CC"/>
    <w:rsid w:val="004E39C4"/>
    <w:rsid w:val="004E54A2"/>
    <w:rsid w:val="004E5703"/>
    <w:rsid w:val="004E7494"/>
    <w:rsid w:val="004E7FD6"/>
    <w:rsid w:val="004F0988"/>
    <w:rsid w:val="004F1928"/>
    <w:rsid w:val="004F29F1"/>
    <w:rsid w:val="004F3340"/>
    <w:rsid w:val="004F3E3D"/>
    <w:rsid w:val="004F486C"/>
    <w:rsid w:val="004F6857"/>
    <w:rsid w:val="004F78EB"/>
    <w:rsid w:val="004F7B0A"/>
    <w:rsid w:val="00500EE3"/>
    <w:rsid w:val="005041D3"/>
    <w:rsid w:val="00507DB2"/>
    <w:rsid w:val="00513C82"/>
    <w:rsid w:val="00514C6F"/>
    <w:rsid w:val="005167FF"/>
    <w:rsid w:val="00517C50"/>
    <w:rsid w:val="00521C1D"/>
    <w:rsid w:val="00523464"/>
    <w:rsid w:val="00524449"/>
    <w:rsid w:val="00524F5B"/>
    <w:rsid w:val="00524FC0"/>
    <w:rsid w:val="005255F0"/>
    <w:rsid w:val="0053388B"/>
    <w:rsid w:val="00535045"/>
    <w:rsid w:val="00535773"/>
    <w:rsid w:val="00535820"/>
    <w:rsid w:val="00535EF5"/>
    <w:rsid w:val="0053790B"/>
    <w:rsid w:val="00540C1F"/>
    <w:rsid w:val="0054158B"/>
    <w:rsid w:val="00541C18"/>
    <w:rsid w:val="00543E6C"/>
    <w:rsid w:val="005500AC"/>
    <w:rsid w:val="00550D79"/>
    <w:rsid w:val="0055283D"/>
    <w:rsid w:val="00554492"/>
    <w:rsid w:val="00554F74"/>
    <w:rsid w:val="00555910"/>
    <w:rsid w:val="00557742"/>
    <w:rsid w:val="0055777A"/>
    <w:rsid w:val="005618B2"/>
    <w:rsid w:val="00562973"/>
    <w:rsid w:val="00565087"/>
    <w:rsid w:val="0056676A"/>
    <w:rsid w:val="0057261C"/>
    <w:rsid w:val="00572A94"/>
    <w:rsid w:val="00572E14"/>
    <w:rsid w:val="00574533"/>
    <w:rsid w:val="005759F9"/>
    <w:rsid w:val="005767D7"/>
    <w:rsid w:val="005837C8"/>
    <w:rsid w:val="005861FD"/>
    <w:rsid w:val="00590D4B"/>
    <w:rsid w:val="0059102D"/>
    <w:rsid w:val="00591F72"/>
    <w:rsid w:val="00592DE0"/>
    <w:rsid w:val="00594E31"/>
    <w:rsid w:val="0059619E"/>
    <w:rsid w:val="005973BE"/>
    <w:rsid w:val="00597F10"/>
    <w:rsid w:val="005A0754"/>
    <w:rsid w:val="005A184B"/>
    <w:rsid w:val="005A49AA"/>
    <w:rsid w:val="005A5986"/>
    <w:rsid w:val="005B1383"/>
    <w:rsid w:val="005B2B6A"/>
    <w:rsid w:val="005B2F7C"/>
    <w:rsid w:val="005B35AC"/>
    <w:rsid w:val="005B5018"/>
    <w:rsid w:val="005B5923"/>
    <w:rsid w:val="005C13CE"/>
    <w:rsid w:val="005C5712"/>
    <w:rsid w:val="005C6D6D"/>
    <w:rsid w:val="005C7D64"/>
    <w:rsid w:val="005D0294"/>
    <w:rsid w:val="005D27B5"/>
    <w:rsid w:val="005D2E01"/>
    <w:rsid w:val="005D4624"/>
    <w:rsid w:val="005D52B4"/>
    <w:rsid w:val="005D5574"/>
    <w:rsid w:val="005D5BCA"/>
    <w:rsid w:val="005D620E"/>
    <w:rsid w:val="005D7526"/>
    <w:rsid w:val="005E0910"/>
    <w:rsid w:val="005E1B49"/>
    <w:rsid w:val="005E3233"/>
    <w:rsid w:val="005E3496"/>
    <w:rsid w:val="005E5E5E"/>
    <w:rsid w:val="005E69AE"/>
    <w:rsid w:val="005F3283"/>
    <w:rsid w:val="005F3E4E"/>
    <w:rsid w:val="005F5463"/>
    <w:rsid w:val="005F6F36"/>
    <w:rsid w:val="005F7035"/>
    <w:rsid w:val="00600F4B"/>
    <w:rsid w:val="00602AEA"/>
    <w:rsid w:val="00607E3C"/>
    <w:rsid w:val="00614E37"/>
    <w:rsid w:val="00614FDF"/>
    <w:rsid w:val="00621074"/>
    <w:rsid w:val="006212AD"/>
    <w:rsid w:val="006246A7"/>
    <w:rsid w:val="0062595A"/>
    <w:rsid w:val="0063543D"/>
    <w:rsid w:val="0063688C"/>
    <w:rsid w:val="006369F5"/>
    <w:rsid w:val="00642297"/>
    <w:rsid w:val="00645891"/>
    <w:rsid w:val="00645B80"/>
    <w:rsid w:val="006470CB"/>
    <w:rsid w:val="00647114"/>
    <w:rsid w:val="00650557"/>
    <w:rsid w:val="00652E54"/>
    <w:rsid w:val="006546A3"/>
    <w:rsid w:val="006633B2"/>
    <w:rsid w:val="00667FCD"/>
    <w:rsid w:val="0067193B"/>
    <w:rsid w:val="00673EF2"/>
    <w:rsid w:val="006777F3"/>
    <w:rsid w:val="00677B76"/>
    <w:rsid w:val="006800C1"/>
    <w:rsid w:val="00682719"/>
    <w:rsid w:val="00690E24"/>
    <w:rsid w:val="00691014"/>
    <w:rsid w:val="00692B48"/>
    <w:rsid w:val="00695ACB"/>
    <w:rsid w:val="0069676C"/>
    <w:rsid w:val="006974B3"/>
    <w:rsid w:val="006A323F"/>
    <w:rsid w:val="006A4C43"/>
    <w:rsid w:val="006A5B00"/>
    <w:rsid w:val="006B30D0"/>
    <w:rsid w:val="006B7D66"/>
    <w:rsid w:val="006C2B4C"/>
    <w:rsid w:val="006C351C"/>
    <w:rsid w:val="006C3B46"/>
    <w:rsid w:val="006C3D95"/>
    <w:rsid w:val="006C5CE0"/>
    <w:rsid w:val="006D012B"/>
    <w:rsid w:val="006D21E5"/>
    <w:rsid w:val="006D493B"/>
    <w:rsid w:val="006D7439"/>
    <w:rsid w:val="006E0125"/>
    <w:rsid w:val="006E0326"/>
    <w:rsid w:val="006E2D06"/>
    <w:rsid w:val="006E58C5"/>
    <w:rsid w:val="006E5C86"/>
    <w:rsid w:val="006F111E"/>
    <w:rsid w:val="006F32C4"/>
    <w:rsid w:val="006F4144"/>
    <w:rsid w:val="006F4483"/>
    <w:rsid w:val="006F7F5A"/>
    <w:rsid w:val="00700CF5"/>
    <w:rsid w:val="00701BF6"/>
    <w:rsid w:val="007026F3"/>
    <w:rsid w:val="00703061"/>
    <w:rsid w:val="007072BE"/>
    <w:rsid w:val="00713C44"/>
    <w:rsid w:val="0071576F"/>
    <w:rsid w:val="00723101"/>
    <w:rsid w:val="00723949"/>
    <w:rsid w:val="00724089"/>
    <w:rsid w:val="00730928"/>
    <w:rsid w:val="00730A22"/>
    <w:rsid w:val="00730ED4"/>
    <w:rsid w:val="00734A5B"/>
    <w:rsid w:val="00740136"/>
    <w:rsid w:val="0074026F"/>
    <w:rsid w:val="00740674"/>
    <w:rsid w:val="00740A05"/>
    <w:rsid w:val="007413C5"/>
    <w:rsid w:val="007429F6"/>
    <w:rsid w:val="0074370B"/>
    <w:rsid w:val="00743764"/>
    <w:rsid w:val="00743EF3"/>
    <w:rsid w:val="00744E76"/>
    <w:rsid w:val="0074731F"/>
    <w:rsid w:val="00751068"/>
    <w:rsid w:val="00752198"/>
    <w:rsid w:val="00753881"/>
    <w:rsid w:val="007579E3"/>
    <w:rsid w:val="00760AA3"/>
    <w:rsid w:val="00761DA3"/>
    <w:rsid w:val="00764DB5"/>
    <w:rsid w:val="007651E9"/>
    <w:rsid w:val="00767B04"/>
    <w:rsid w:val="00770F6A"/>
    <w:rsid w:val="00771457"/>
    <w:rsid w:val="007716DF"/>
    <w:rsid w:val="00771D94"/>
    <w:rsid w:val="00774DA4"/>
    <w:rsid w:val="00776727"/>
    <w:rsid w:val="00781F0F"/>
    <w:rsid w:val="007822F4"/>
    <w:rsid w:val="00783C23"/>
    <w:rsid w:val="00787A9F"/>
    <w:rsid w:val="00793210"/>
    <w:rsid w:val="00795BC5"/>
    <w:rsid w:val="00796F12"/>
    <w:rsid w:val="007A113D"/>
    <w:rsid w:val="007A3785"/>
    <w:rsid w:val="007A5A83"/>
    <w:rsid w:val="007B110F"/>
    <w:rsid w:val="007B36EA"/>
    <w:rsid w:val="007B600E"/>
    <w:rsid w:val="007C0A8D"/>
    <w:rsid w:val="007C0E3E"/>
    <w:rsid w:val="007C2BB0"/>
    <w:rsid w:val="007C2CD5"/>
    <w:rsid w:val="007C4428"/>
    <w:rsid w:val="007C5B26"/>
    <w:rsid w:val="007C5D57"/>
    <w:rsid w:val="007C7470"/>
    <w:rsid w:val="007D2FB8"/>
    <w:rsid w:val="007D5C88"/>
    <w:rsid w:val="007D72F1"/>
    <w:rsid w:val="007D7A9D"/>
    <w:rsid w:val="007E0E3E"/>
    <w:rsid w:val="007F0F4A"/>
    <w:rsid w:val="007F3A6D"/>
    <w:rsid w:val="007F6B15"/>
    <w:rsid w:val="00801109"/>
    <w:rsid w:val="0080113F"/>
    <w:rsid w:val="008028A4"/>
    <w:rsid w:val="00802C01"/>
    <w:rsid w:val="00806769"/>
    <w:rsid w:val="00820B25"/>
    <w:rsid w:val="00822E73"/>
    <w:rsid w:val="0082378A"/>
    <w:rsid w:val="00823B74"/>
    <w:rsid w:val="008272CE"/>
    <w:rsid w:val="00830747"/>
    <w:rsid w:val="008321F9"/>
    <w:rsid w:val="0083542B"/>
    <w:rsid w:val="0084144D"/>
    <w:rsid w:val="00845252"/>
    <w:rsid w:val="0084603C"/>
    <w:rsid w:val="0085063B"/>
    <w:rsid w:val="00850EF7"/>
    <w:rsid w:val="00854961"/>
    <w:rsid w:val="008621D8"/>
    <w:rsid w:val="00863C72"/>
    <w:rsid w:val="00866877"/>
    <w:rsid w:val="00866E39"/>
    <w:rsid w:val="00872482"/>
    <w:rsid w:val="00872DD1"/>
    <w:rsid w:val="008768CA"/>
    <w:rsid w:val="00881CD6"/>
    <w:rsid w:val="00883455"/>
    <w:rsid w:val="008843A2"/>
    <w:rsid w:val="00884D7F"/>
    <w:rsid w:val="0089167B"/>
    <w:rsid w:val="00894AB0"/>
    <w:rsid w:val="00895C41"/>
    <w:rsid w:val="00896799"/>
    <w:rsid w:val="008A460F"/>
    <w:rsid w:val="008A485A"/>
    <w:rsid w:val="008A7859"/>
    <w:rsid w:val="008A787C"/>
    <w:rsid w:val="008A7A83"/>
    <w:rsid w:val="008B1D7D"/>
    <w:rsid w:val="008B209A"/>
    <w:rsid w:val="008B289B"/>
    <w:rsid w:val="008B4016"/>
    <w:rsid w:val="008B6A59"/>
    <w:rsid w:val="008C1CE0"/>
    <w:rsid w:val="008C384C"/>
    <w:rsid w:val="008C3FF6"/>
    <w:rsid w:val="008C45AE"/>
    <w:rsid w:val="008D04DD"/>
    <w:rsid w:val="008D1D1C"/>
    <w:rsid w:val="008D2E9F"/>
    <w:rsid w:val="008D41E2"/>
    <w:rsid w:val="008D588A"/>
    <w:rsid w:val="008D7F80"/>
    <w:rsid w:val="008E3D0D"/>
    <w:rsid w:val="008E7986"/>
    <w:rsid w:val="008F0D3D"/>
    <w:rsid w:val="008F0E85"/>
    <w:rsid w:val="008F2044"/>
    <w:rsid w:val="008F3CDD"/>
    <w:rsid w:val="0090271F"/>
    <w:rsid w:val="00902E23"/>
    <w:rsid w:val="009030F1"/>
    <w:rsid w:val="009035DB"/>
    <w:rsid w:val="00903EF6"/>
    <w:rsid w:val="009076EE"/>
    <w:rsid w:val="00910BC7"/>
    <w:rsid w:val="009114D7"/>
    <w:rsid w:val="00912C69"/>
    <w:rsid w:val="0091348E"/>
    <w:rsid w:val="00913AC2"/>
    <w:rsid w:val="00914CEF"/>
    <w:rsid w:val="00914DDA"/>
    <w:rsid w:val="00917CCB"/>
    <w:rsid w:val="009205B7"/>
    <w:rsid w:val="00920C02"/>
    <w:rsid w:val="009219A3"/>
    <w:rsid w:val="00922D05"/>
    <w:rsid w:val="009279B4"/>
    <w:rsid w:val="00931553"/>
    <w:rsid w:val="00935D71"/>
    <w:rsid w:val="00940D43"/>
    <w:rsid w:val="009415AC"/>
    <w:rsid w:val="00942EC2"/>
    <w:rsid w:val="0094373D"/>
    <w:rsid w:val="00945132"/>
    <w:rsid w:val="00945B01"/>
    <w:rsid w:val="009516F6"/>
    <w:rsid w:val="00951A2E"/>
    <w:rsid w:val="00955C25"/>
    <w:rsid w:val="0095616A"/>
    <w:rsid w:val="0095641F"/>
    <w:rsid w:val="00960253"/>
    <w:rsid w:val="00960E66"/>
    <w:rsid w:val="00966007"/>
    <w:rsid w:val="00967996"/>
    <w:rsid w:val="009708E0"/>
    <w:rsid w:val="009755A8"/>
    <w:rsid w:val="0098250D"/>
    <w:rsid w:val="00983F34"/>
    <w:rsid w:val="009854FC"/>
    <w:rsid w:val="009860B5"/>
    <w:rsid w:val="009872C5"/>
    <w:rsid w:val="009910D7"/>
    <w:rsid w:val="0099175A"/>
    <w:rsid w:val="00992F90"/>
    <w:rsid w:val="009945E1"/>
    <w:rsid w:val="00996490"/>
    <w:rsid w:val="009A1316"/>
    <w:rsid w:val="009A40B3"/>
    <w:rsid w:val="009A598E"/>
    <w:rsid w:val="009B1DBF"/>
    <w:rsid w:val="009B2332"/>
    <w:rsid w:val="009B402C"/>
    <w:rsid w:val="009B65C0"/>
    <w:rsid w:val="009C067E"/>
    <w:rsid w:val="009C1FD6"/>
    <w:rsid w:val="009C2464"/>
    <w:rsid w:val="009C2C1B"/>
    <w:rsid w:val="009C5E4C"/>
    <w:rsid w:val="009D3B48"/>
    <w:rsid w:val="009D3F00"/>
    <w:rsid w:val="009E3057"/>
    <w:rsid w:val="009E3306"/>
    <w:rsid w:val="009E4032"/>
    <w:rsid w:val="009E7750"/>
    <w:rsid w:val="009F10E5"/>
    <w:rsid w:val="009F37B7"/>
    <w:rsid w:val="009F5009"/>
    <w:rsid w:val="009F55B3"/>
    <w:rsid w:val="009F5E43"/>
    <w:rsid w:val="009F6E2F"/>
    <w:rsid w:val="00A00A29"/>
    <w:rsid w:val="00A00F77"/>
    <w:rsid w:val="00A01247"/>
    <w:rsid w:val="00A05AB6"/>
    <w:rsid w:val="00A06A65"/>
    <w:rsid w:val="00A103D8"/>
    <w:rsid w:val="00A108F9"/>
    <w:rsid w:val="00A10F02"/>
    <w:rsid w:val="00A12136"/>
    <w:rsid w:val="00A1260C"/>
    <w:rsid w:val="00A15BD4"/>
    <w:rsid w:val="00A164B4"/>
    <w:rsid w:val="00A17706"/>
    <w:rsid w:val="00A200FA"/>
    <w:rsid w:val="00A20B73"/>
    <w:rsid w:val="00A243C8"/>
    <w:rsid w:val="00A26956"/>
    <w:rsid w:val="00A26B8E"/>
    <w:rsid w:val="00A309A6"/>
    <w:rsid w:val="00A3236C"/>
    <w:rsid w:val="00A32451"/>
    <w:rsid w:val="00A36357"/>
    <w:rsid w:val="00A42D4C"/>
    <w:rsid w:val="00A4526E"/>
    <w:rsid w:val="00A475ED"/>
    <w:rsid w:val="00A5077F"/>
    <w:rsid w:val="00A52241"/>
    <w:rsid w:val="00A529B2"/>
    <w:rsid w:val="00A53724"/>
    <w:rsid w:val="00A54887"/>
    <w:rsid w:val="00A556DB"/>
    <w:rsid w:val="00A63895"/>
    <w:rsid w:val="00A6585D"/>
    <w:rsid w:val="00A66D34"/>
    <w:rsid w:val="00A73129"/>
    <w:rsid w:val="00A75F77"/>
    <w:rsid w:val="00A801B4"/>
    <w:rsid w:val="00A814E0"/>
    <w:rsid w:val="00A81515"/>
    <w:rsid w:val="00A8227B"/>
    <w:rsid w:val="00A82346"/>
    <w:rsid w:val="00A86DA6"/>
    <w:rsid w:val="00A90AB9"/>
    <w:rsid w:val="00A92BA1"/>
    <w:rsid w:val="00A93F67"/>
    <w:rsid w:val="00A9582B"/>
    <w:rsid w:val="00AA0A82"/>
    <w:rsid w:val="00AB0E32"/>
    <w:rsid w:val="00AB2852"/>
    <w:rsid w:val="00AB3AF4"/>
    <w:rsid w:val="00AC176F"/>
    <w:rsid w:val="00AC30FF"/>
    <w:rsid w:val="00AC3A0D"/>
    <w:rsid w:val="00AC3F6A"/>
    <w:rsid w:val="00AC4113"/>
    <w:rsid w:val="00AC6BC6"/>
    <w:rsid w:val="00AD30A9"/>
    <w:rsid w:val="00AD32F4"/>
    <w:rsid w:val="00AD3CE6"/>
    <w:rsid w:val="00AD7733"/>
    <w:rsid w:val="00AE24D1"/>
    <w:rsid w:val="00AE2C35"/>
    <w:rsid w:val="00AE2CF3"/>
    <w:rsid w:val="00AE3039"/>
    <w:rsid w:val="00AE3797"/>
    <w:rsid w:val="00AE6DAB"/>
    <w:rsid w:val="00AF0800"/>
    <w:rsid w:val="00AF4E68"/>
    <w:rsid w:val="00AF6C6F"/>
    <w:rsid w:val="00AF7A5E"/>
    <w:rsid w:val="00B01C1E"/>
    <w:rsid w:val="00B06987"/>
    <w:rsid w:val="00B12ADA"/>
    <w:rsid w:val="00B137ED"/>
    <w:rsid w:val="00B15449"/>
    <w:rsid w:val="00B226C7"/>
    <w:rsid w:val="00B23FC5"/>
    <w:rsid w:val="00B30D17"/>
    <w:rsid w:val="00B30E18"/>
    <w:rsid w:val="00B31AF8"/>
    <w:rsid w:val="00B31EAB"/>
    <w:rsid w:val="00B3313E"/>
    <w:rsid w:val="00B34AF8"/>
    <w:rsid w:val="00B35701"/>
    <w:rsid w:val="00B3794F"/>
    <w:rsid w:val="00B40A30"/>
    <w:rsid w:val="00B40D79"/>
    <w:rsid w:val="00B42610"/>
    <w:rsid w:val="00B42970"/>
    <w:rsid w:val="00B43710"/>
    <w:rsid w:val="00B439C4"/>
    <w:rsid w:val="00B43A44"/>
    <w:rsid w:val="00B45561"/>
    <w:rsid w:val="00B45BF1"/>
    <w:rsid w:val="00B45F2F"/>
    <w:rsid w:val="00B5091E"/>
    <w:rsid w:val="00B509ED"/>
    <w:rsid w:val="00B521BD"/>
    <w:rsid w:val="00B52DD2"/>
    <w:rsid w:val="00B53303"/>
    <w:rsid w:val="00B54890"/>
    <w:rsid w:val="00B57A69"/>
    <w:rsid w:val="00B57EC0"/>
    <w:rsid w:val="00B6028B"/>
    <w:rsid w:val="00B60AF5"/>
    <w:rsid w:val="00B62C6F"/>
    <w:rsid w:val="00B62F65"/>
    <w:rsid w:val="00B66212"/>
    <w:rsid w:val="00B72A82"/>
    <w:rsid w:val="00B7661E"/>
    <w:rsid w:val="00B76CA8"/>
    <w:rsid w:val="00B76F6D"/>
    <w:rsid w:val="00B77756"/>
    <w:rsid w:val="00B81CF7"/>
    <w:rsid w:val="00B848D4"/>
    <w:rsid w:val="00B84C46"/>
    <w:rsid w:val="00B851D2"/>
    <w:rsid w:val="00B86EA0"/>
    <w:rsid w:val="00B9159B"/>
    <w:rsid w:val="00B918A8"/>
    <w:rsid w:val="00B92026"/>
    <w:rsid w:val="00B93086"/>
    <w:rsid w:val="00B94402"/>
    <w:rsid w:val="00B94FCE"/>
    <w:rsid w:val="00B97442"/>
    <w:rsid w:val="00B97F57"/>
    <w:rsid w:val="00BA1501"/>
    <w:rsid w:val="00BA19ED"/>
    <w:rsid w:val="00BA1B8A"/>
    <w:rsid w:val="00BA300B"/>
    <w:rsid w:val="00BA4B8D"/>
    <w:rsid w:val="00BA5966"/>
    <w:rsid w:val="00BB0B86"/>
    <w:rsid w:val="00BB13E8"/>
    <w:rsid w:val="00BB2412"/>
    <w:rsid w:val="00BC0F7D"/>
    <w:rsid w:val="00BC155B"/>
    <w:rsid w:val="00BC1C56"/>
    <w:rsid w:val="00BC3990"/>
    <w:rsid w:val="00BD25F6"/>
    <w:rsid w:val="00BD4B06"/>
    <w:rsid w:val="00BD56A7"/>
    <w:rsid w:val="00BD5FE5"/>
    <w:rsid w:val="00BD6168"/>
    <w:rsid w:val="00BD6A42"/>
    <w:rsid w:val="00BD6C61"/>
    <w:rsid w:val="00BD7355"/>
    <w:rsid w:val="00BE0421"/>
    <w:rsid w:val="00BE3255"/>
    <w:rsid w:val="00BE3F0E"/>
    <w:rsid w:val="00BF128E"/>
    <w:rsid w:val="00BF1D0B"/>
    <w:rsid w:val="00BF41A6"/>
    <w:rsid w:val="00C013D6"/>
    <w:rsid w:val="00C03F8A"/>
    <w:rsid w:val="00C04C47"/>
    <w:rsid w:val="00C1194C"/>
    <w:rsid w:val="00C1496A"/>
    <w:rsid w:val="00C15897"/>
    <w:rsid w:val="00C246BA"/>
    <w:rsid w:val="00C260C6"/>
    <w:rsid w:val="00C27E8E"/>
    <w:rsid w:val="00C27F76"/>
    <w:rsid w:val="00C31091"/>
    <w:rsid w:val="00C33079"/>
    <w:rsid w:val="00C379D8"/>
    <w:rsid w:val="00C428A8"/>
    <w:rsid w:val="00C4354A"/>
    <w:rsid w:val="00C45231"/>
    <w:rsid w:val="00C50C74"/>
    <w:rsid w:val="00C5262E"/>
    <w:rsid w:val="00C5359F"/>
    <w:rsid w:val="00C5685D"/>
    <w:rsid w:val="00C60513"/>
    <w:rsid w:val="00C61D1C"/>
    <w:rsid w:val="00C62365"/>
    <w:rsid w:val="00C643EE"/>
    <w:rsid w:val="00C724F5"/>
    <w:rsid w:val="00C72833"/>
    <w:rsid w:val="00C73514"/>
    <w:rsid w:val="00C74AFF"/>
    <w:rsid w:val="00C776A4"/>
    <w:rsid w:val="00C77A33"/>
    <w:rsid w:val="00C80F1D"/>
    <w:rsid w:val="00C82550"/>
    <w:rsid w:val="00C87527"/>
    <w:rsid w:val="00C901CB"/>
    <w:rsid w:val="00C925D7"/>
    <w:rsid w:val="00C928B4"/>
    <w:rsid w:val="00C92F61"/>
    <w:rsid w:val="00C93F40"/>
    <w:rsid w:val="00C97F2B"/>
    <w:rsid w:val="00CA0BC6"/>
    <w:rsid w:val="00CA1C65"/>
    <w:rsid w:val="00CA3D0C"/>
    <w:rsid w:val="00CA3F1F"/>
    <w:rsid w:val="00CA4BE4"/>
    <w:rsid w:val="00CB45AB"/>
    <w:rsid w:val="00CB5B72"/>
    <w:rsid w:val="00CB66BA"/>
    <w:rsid w:val="00CC3BA1"/>
    <w:rsid w:val="00CC42C6"/>
    <w:rsid w:val="00CC5A27"/>
    <w:rsid w:val="00CC760C"/>
    <w:rsid w:val="00CD1191"/>
    <w:rsid w:val="00CD14E9"/>
    <w:rsid w:val="00CD4B25"/>
    <w:rsid w:val="00CD4BE0"/>
    <w:rsid w:val="00CD5226"/>
    <w:rsid w:val="00CD6FF5"/>
    <w:rsid w:val="00CD7B5B"/>
    <w:rsid w:val="00CE035B"/>
    <w:rsid w:val="00CE0F97"/>
    <w:rsid w:val="00CE7369"/>
    <w:rsid w:val="00CF20E3"/>
    <w:rsid w:val="00D00F2B"/>
    <w:rsid w:val="00D02F92"/>
    <w:rsid w:val="00D10B5C"/>
    <w:rsid w:val="00D10E89"/>
    <w:rsid w:val="00D14159"/>
    <w:rsid w:val="00D15BBA"/>
    <w:rsid w:val="00D16E5B"/>
    <w:rsid w:val="00D22D88"/>
    <w:rsid w:val="00D27884"/>
    <w:rsid w:val="00D30464"/>
    <w:rsid w:val="00D309CC"/>
    <w:rsid w:val="00D3351F"/>
    <w:rsid w:val="00D34E1E"/>
    <w:rsid w:val="00D35B3F"/>
    <w:rsid w:val="00D414E1"/>
    <w:rsid w:val="00D431B7"/>
    <w:rsid w:val="00D442AA"/>
    <w:rsid w:val="00D46431"/>
    <w:rsid w:val="00D468B9"/>
    <w:rsid w:val="00D46DF8"/>
    <w:rsid w:val="00D54B60"/>
    <w:rsid w:val="00D553ED"/>
    <w:rsid w:val="00D56A52"/>
    <w:rsid w:val="00D57972"/>
    <w:rsid w:val="00D60C50"/>
    <w:rsid w:val="00D6107D"/>
    <w:rsid w:val="00D645AF"/>
    <w:rsid w:val="00D65F45"/>
    <w:rsid w:val="00D671FD"/>
    <w:rsid w:val="00D675A9"/>
    <w:rsid w:val="00D738D6"/>
    <w:rsid w:val="00D7485F"/>
    <w:rsid w:val="00D755EB"/>
    <w:rsid w:val="00D77E92"/>
    <w:rsid w:val="00D80C1A"/>
    <w:rsid w:val="00D821E5"/>
    <w:rsid w:val="00D8602A"/>
    <w:rsid w:val="00D867DB"/>
    <w:rsid w:val="00D87812"/>
    <w:rsid w:val="00D87E00"/>
    <w:rsid w:val="00D907F9"/>
    <w:rsid w:val="00D9134D"/>
    <w:rsid w:val="00D91888"/>
    <w:rsid w:val="00D91D0F"/>
    <w:rsid w:val="00D91F07"/>
    <w:rsid w:val="00DA2BE3"/>
    <w:rsid w:val="00DA3BC8"/>
    <w:rsid w:val="00DA53EF"/>
    <w:rsid w:val="00DA62A4"/>
    <w:rsid w:val="00DA7A03"/>
    <w:rsid w:val="00DB12EC"/>
    <w:rsid w:val="00DB13D0"/>
    <w:rsid w:val="00DB1818"/>
    <w:rsid w:val="00DB2CFF"/>
    <w:rsid w:val="00DB42C3"/>
    <w:rsid w:val="00DB4E11"/>
    <w:rsid w:val="00DB5C15"/>
    <w:rsid w:val="00DB5D02"/>
    <w:rsid w:val="00DC1E80"/>
    <w:rsid w:val="00DC309B"/>
    <w:rsid w:val="00DC47A6"/>
    <w:rsid w:val="00DC4DA2"/>
    <w:rsid w:val="00DC516A"/>
    <w:rsid w:val="00DD089D"/>
    <w:rsid w:val="00DD45F1"/>
    <w:rsid w:val="00DD4C17"/>
    <w:rsid w:val="00DD5B05"/>
    <w:rsid w:val="00DD78E7"/>
    <w:rsid w:val="00DE1167"/>
    <w:rsid w:val="00DE2B8A"/>
    <w:rsid w:val="00DE306A"/>
    <w:rsid w:val="00DE6BE6"/>
    <w:rsid w:val="00DF2B1F"/>
    <w:rsid w:val="00DF5AD0"/>
    <w:rsid w:val="00DF5EE8"/>
    <w:rsid w:val="00DF6189"/>
    <w:rsid w:val="00DF62CD"/>
    <w:rsid w:val="00DF67C5"/>
    <w:rsid w:val="00DF74A8"/>
    <w:rsid w:val="00E003A9"/>
    <w:rsid w:val="00E022C8"/>
    <w:rsid w:val="00E033B1"/>
    <w:rsid w:val="00E06308"/>
    <w:rsid w:val="00E06ECF"/>
    <w:rsid w:val="00E12073"/>
    <w:rsid w:val="00E124D0"/>
    <w:rsid w:val="00E13876"/>
    <w:rsid w:val="00E142B7"/>
    <w:rsid w:val="00E14634"/>
    <w:rsid w:val="00E15622"/>
    <w:rsid w:val="00E16509"/>
    <w:rsid w:val="00E17392"/>
    <w:rsid w:val="00E17541"/>
    <w:rsid w:val="00E176F5"/>
    <w:rsid w:val="00E21BDD"/>
    <w:rsid w:val="00E2363F"/>
    <w:rsid w:val="00E24E3B"/>
    <w:rsid w:val="00E27B54"/>
    <w:rsid w:val="00E31772"/>
    <w:rsid w:val="00E34C44"/>
    <w:rsid w:val="00E36C47"/>
    <w:rsid w:val="00E374CA"/>
    <w:rsid w:val="00E40527"/>
    <w:rsid w:val="00E4160D"/>
    <w:rsid w:val="00E4203B"/>
    <w:rsid w:val="00E42938"/>
    <w:rsid w:val="00E441F3"/>
    <w:rsid w:val="00E44360"/>
    <w:rsid w:val="00E44582"/>
    <w:rsid w:val="00E445A2"/>
    <w:rsid w:val="00E4765D"/>
    <w:rsid w:val="00E477BE"/>
    <w:rsid w:val="00E507ED"/>
    <w:rsid w:val="00E52814"/>
    <w:rsid w:val="00E53B5D"/>
    <w:rsid w:val="00E55B2C"/>
    <w:rsid w:val="00E56C84"/>
    <w:rsid w:val="00E56FFC"/>
    <w:rsid w:val="00E603C1"/>
    <w:rsid w:val="00E64EB8"/>
    <w:rsid w:val="00E65966"/>
    <w:rsid w:val="00E65AAE"/>
    <w:rsid w:val="00E67FF7"/>
    <w:rsid w:val="00E70295"/>
    <w:rsid w:val="00E71D42"/>
    <w:rsid w:val="00E72324"/>
    <w:rsid w:val="00E72ABE"/>
    <w:rsid w:val="00E75C1B"/>
    <w:rsid w:val="00E76BD1"/>
    <w:rsid w:val="00E77364"/>
    <w:rsid w:val="00E77645"/>
    <w:rsid w:val="00E803C2"/>
    <w:rsid w:val="00E80DE4"/>
    <w:rsid w:val="00E81E8F"/>
    <w:rsid w:val="00E82623"/>
    <w:rsid w:val="00E82BB1"/>
    <w:rsid w:val="00E8309B"/>
    <w:rsid w:val="00E879EE"/>
    <w:rsid w:val="00E92F48"/>
    <w:rsid w:val="00E94B98"/>
    <w:rsid w:val="00E9599A"/>
    <w:rsid w:val="00E9649F"/>
    <w:rsid w:val="00E97146"/>
    <w:rsid w:val="00EA4155"/>
    <w:rsid w:val="00EA6749"/>
    <w:rsid w:val="00EB161B"/>
    <w:rsid w:val="00EB22F4"/>
    <w:rsid w:val="00EB2FC2"/>
    <w:rsid w:val="00EB47FE"/>
    <w:rsid w:val="00EC1E93"/>
    <w:rsid w:val="00EC245A"/>
    <w:rsid w:val="00EC2729"/>
    <w:rsid w:val="00EC3517"/>
    <w:rsid w:val="00EC4A25"/>
    <w:rsid w:val="00EC6DC1"/>
    <w:rsid w:val="00ED1C22"/>
    <w:rsid w:val="00ED2846"/>
    <w:rsid w:val="00ED3052"/>
    <w:rsid w:val="00ED4894"/>
    <w:rsid w:val="00EE56AB"/>
    <w:rsid w:val="00EE5AA7"/>
    <w:rsid w:val="00EE5D8F"/>
    <w:rsid w:val="00EE74D3"/>
    <w:rsid w:val="00EF09B4"/>
    <w:rsid w:val="00EF4F19"/>
    <w:rsid w:val="00EF6895"/>
    <w:rsid w:val="00EF6984"/>
    <w:rsid w:val="00EF76F3"/>
    <w:rsid w:val="00EF7828"/>
    <w:rsid w:val="00F015A4"/>
    <w:rsid w:val="00F025A2"/>
    <w:rsid w:val="00F04712"/>
    <w:rsid w:val="00F10B1F"/>
    <w:rsid w:val="00F16DDC"/>
    <w:rsid w:val="00F209B1"/>
    <w:rsid w:val="00F21311"/>
    <w:rsid w:val="00F21980"/>
    <w:rsid w:val="00F220BD"/>
    <w:rsid w:val="00F221BE"/>
    <w:rsid w:val="00F22EC7"/>
    <w:rsid w:val="00F273D3"/>
    <w:rsid w:val="00F3035A"/>
    <w:rsid w:val="00F325C8"/>
    <w:rsid w:val="00F32778"/>
    <w:rsid w:val="00F34AD4"/>
    <w:rsid w:val="00F37628"/>
    <w:rsid w:val="00F402C7"/>
    <w:rsid w:val="00F40958"/>
    <w:rsid w:val="00F42F72"/>
    <w:rsid w:val="00F465DF"/>
    <w:rsid w:val="00F4799F"/>
    <w:rsid w:val="00F47DB4"/>
    <w:rsid w:val="00F50F72"/>
    <w:rsid w:val="00F5450C"/>
    <w:rsid w:val="00F56D57"/>
    <w:rsid w:val="00F61B4D"/>
    <w:rsid w:val="00F62AEB"/>
    <w:rsid w:val="00F6521B"/>
    <w:rsid w:val="00F653B8"/>
    <w:rsid w:val="00F70647"/>
    <w:rsid w:val="00F73852"/>
    <w:rsid w:val="00F7420E"/>
    <w:rsid w:val="00F77382"/>
    <w:rsid w:val="00F77710"/>
    <w:rsid w:val="00F851B0"/>
    <w:rsid w:val="00F86361"/>
    <w:rsid w:val="00F8688A"/>
    <w:rsid w:val="00F87FF5"/>
    <w:rsid w:val="00F92DB0"/>
    <w:rsid w:val="00F9377C"/>
    <w:rsid w:val="00F95CA0"/>
    <w:rsid w:val="00F95EDB"/>
    <w:rsid w:val="00F96804"/>
    <w:rsid w:val="00FA0D1A"/>
    <w:rsid w:val="00FA0DFF"/>
    <w:rsid w:val="00FA1266"/>
    <w:rsid w:val="00FA35E1"/>
    <w:rsid w:val="00FA7625"/>
    <w:rsid w:val="00FB1CFB"/>
    <w:rsid w:val="00FB2C76"/>
    <w:rsid w:val="00FB3529"/>
    <w:rsid w:val="00FB4364"/>
    <w:rsid w:val="00FB4C0B"/>
    <w:rsid w:val="00FB68AC"/>
    <w:rsid w:val="00FC1192"/>
    <w:rsid w:val="00FC346D"/>
    <w:rsid w:val="00FC371C"/>
    <w:rsid w:val="00FC5795"/>
    <w:rsid w:val="00FC59FD"/>
    <w:rsid w:val="00FC7334"/>
    <w:rsid w:val="00FD0D5A"/>
    <w:rsid w:val="00FD12FB"/>
    <w:rsid w:val="00FD2B0B"/>
    <w:rsid w:val="00FD324E"/>
    <w:rsid w:val="00FE63B0"/>
    <w:rsid w:val="00FF1AAD"/>
    <w:rsid w:val="00FF1BB0"/>
    <w:rsid w:val="00FF4E8E"/>
    <w:rsid w:val="00FF5898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"/>
    <w:basedOn w:val="Normal"/>
    <w:link w:val="ListParagraphChar"/>
    <w:uiPriority w:val="34"/>
    <w:qFormat/>
    <w:rsid w:val="006212AD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74AFF"/>
    <w:rPr>
      <w:lang w:eastAsia="en-US"/>
    </w:rPr>
  </w:style>
  <w:style w:type="character" w:customStyle="1" w:styleId="TACChar">
    <w:name w:val="TAC Char"/>
    <w:link w:val="TAC"/>
    <w:qFormat/>
    <w:rsid w:val="00EE56AB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EE56AB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EE56AB"/>
    <w:rPr>
      <w:rFonts w:ascii="Arial" w:hAnsi="Arial"/>
      <w:b/>
      <w:sz w:val="18"/>
      <w:lang w:eastAsia="en-US"/>
    </w:rPr>
  </w:style>
  <w:style w:type="character" w:styleId="FollowedHyperlink">
    <w:name w:val="FollowedHyperlink"/>
    <w:basedOn w:val="DefaultParagraphFont"/>
    <w:rsid w:val="006800C1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CC5A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C5A27"/>
  </w:style>
  <w:style w:type="character" w:customStyle="1" w:styleId="CommentTextChar">
    <w:name w:val="Comment Text Char"/>
    <w:basedOn w:val="DefaultParagraphFont"/>
    <w:link w:val="CommentText"/>
    <w:rsid w:val="00CC5A2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C5A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C5A27"/>
    <w:rPr>
      <w:b/>
      <w:bCs/>
      <w:lang w:eastAsia="en-US"/>
    </w:rPr>
  </w:style>
  <w:style w:type="paragraph" w:customStyle="1" w:styleId="CRCoverPage">
    <w:name w:val="CR Cover Page"/>
    <w:link w:val="CRCoverPageChar"/>
    <w:rsid w:val="00C50C74"/>
    <w:pPr>
      <w:spacing w:after="120"/>
    </w:pPr>
    <w:rPr>
      <w:rFonts w:ascii="Arial" w:eastAsiaTheme="minorEastAsia" w:hAnsi="Arial"/>
      <w:lang w:eastAsia="ko-KR"/>
    </w:rPr>
  </w:style>
  <w:style w:type="character" w:customStyle="1" w:styleId="CRCoverPageChar">
    <w:name w:val="CR Cover Page Char"/>
    <w:link w:val="CRCoverPage"/>
    <w:rsid w:val="00C50C74"/>
    <w:rPr>
      <w:rFonts w:ascii="Arial" w:eastAsiaTheme="minorEastAsia" w:hAnsi="Arial"/>
      <w:lang w:eastAsia="ko-KR"/>
    </w:rPr>
  </w:style>
  <w:style w:type="character" w:customStyle="1" w:styleId="TANChar">
    <w:name w:val="TAN Char"/>
    <w:link w:val="TAN"/>
    <w:qFormat/>
    <w:rsid w:val="0084144D"/>
    <w:rPr>
      <w:rFonts w:ascii="Arial" w:hAnsi="Arial"/>
      <w:sz w:val="18"/>
      <w:lang w:eastAsia="en-US"/>
    </w:rPr>
  </w:style>
  <w:style w:type="paragraph" w:customStyle="1" w:styleId="FL">
    <w:name w:val="FL"/>
    <w:basedOn w:val="Normal"/>
    <w:qFormat/>
    <w:rsid w:val="001B14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paragraph" w:styleId="NormalWeb">
    <w:name w:val="Normal (Web)"/>
    <w:basedOn w:val="Normal"/>
    <w:rsid w:val="00D867DB"/>
    <w:rPr>
      <w:sz w:val="24"/>
      <w:szCs w:val="24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5041D3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rsid w:val="00FB4C0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43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3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20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4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2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27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0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69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2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85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37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96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6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39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39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8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17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57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0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45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2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03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517F5-6616-5C44-8C35-4B59ED9FA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97</TotalTime>
  <Pages>4</Pages>
  <Words>1276</Words>
  <Characters>7279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8538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Alexander Sayenko</cp:lastModifiedBy>
  <cp:revision>17</cp:revision>
  <cp:lastPrinted>2019-02-25T14:05:00Z</cp:lastPrinted>
  <dcterms:created xsi:type="dcterms:W3CDTF">2024-10-22T10:46:00Z</dcterms:created>
  <dcterms:modified xsi:type="dcterms:W3CDTF">2024-11-08T14:44:00Z</dcterms:modified>
  <cp:category/>
</cp:coreProperties>
</file>